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13F99A09"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2021/2022</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672"/>
        <w:gridCol w:w="3040"/>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D5D506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329</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FE1FE38"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40%</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041" w14:textId="59206857"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2021 – 2022</w:t>
            </w:r>
          </w:p>
          <w:p w14:paraId="4DD9EDC9"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2022 – 2023 </w:t>
            </w:r>
          </w:p>
          <w:p w14:paraId="2A7D54C2" w14:textId="3C841575"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2023 - 2024</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0DD95D"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15</w:t>
            </w:r>
            <w:r w:rsidRPr="00FA3279">
              <w:rPr>
                <w:rFonts w:asciiTheme="minorHAnsi" w:hAnsiTheme="minorHAnsi" w:cstheme="minorHAnsi"/>
                <w:sz w:val="22"/>
                <w:szCs w:val="22"/>
                <w:vertAlign w:val="superscript"/>
              </w:rPr>
              <w:t>th</w:t>
            </w:r>
            <w:r w:rsidRPr="00FA3279">
              <w:rPr>
                <w:rFonts w:asciiTheme="minorHAnsi" w:hAnsiTheme="minorHAnsi" w:cstheme="minorHAnsi"/>
                <w:sz w:val="22"/>
                <w:szCs w:val="22"/>
              </w:rPr>
              <w:t xml:space="preserve"> October 2021</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587EA1"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October 2022</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EB12E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E40BC73"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190,990</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48A58C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10,513</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A7C8B54"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FA3279" w:rsidRDefault="009D71E8" w:rsidP="002F7459">
            <w:pPr>
              <w:pStyle w:val="TableRow"/>
              <w:spacing w:before="0" w:after="0"/>
              <w:rPr>
                <w:rFonts w:asciiTheme="minorHAnsi" w:hAnsiTheme="minorHAnsi" w:cstheme="minorHAnsi"/>
                <w:b/>
                <w:sz w:val="22"/>
                <w:szCs w:val="22"/>
              </w:rPr>
            </w:pPr>
            <w:r w:rsidRPr="00FA3279">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FA08D5"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201,503</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FA3279" w:rsidRDefault="00006DD0" w:rsidP="002F7459">
            <w:pPr>
              <w:pStyle w:val="TableRow"/>
              <w:spacing w:before="0" w:after="0"/>
              <w:rPr>
                <w:rFonts w:asciiTheme="minorHAnsi" w:hAnsiTheme="minorHAnsi" w:cstheme="minorHAnsi"/>
                <w:b/>
                <w:sz w:val="22"/>
                <w:szCs w:val="22"/>
              </w:rPr>
            </w:pPr>
            <w:r>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35AEEB8C" w:rsidR="00006DD0" w:rsidRPr="00FA3279" w:rsidRDefault="00006DD0"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£219295.48</w:t>
            </w:r>
          </w:p>
        </w:tc>
      </w:tr>
    </w:tbl>
    <w:p w14:paraId="2A7D54E4" w14:textId="77777777" w:rsidR="00E66558" w:rsidRPr="00FA3279"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and small support within the class</w:t>
            </w:r>
          </w:p>
          <w:p w14:paraId="7548CB1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TA support in class</w:t>
            </w:r>
          </w:p>
          <w:p w14:paraId="1C542306"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p w14:paraId="44768D8E" w14:textId="6F1FF2C4"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71D7543E" w14:textId="77777777" w:rsidR="006313BE" w:rsidRPr="00FA3279" w:rsidRDefault="006313BE"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41166660"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 supporting positive behaviour, social and emotional skills and building parental engagement. Parents/carers play a key role in supporting children to learn at home and it is important for us to work together to support this.</w:t>
            </w: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p>
          <w:p w14:paraId="3AD296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lastRenderedPageBreak/>
              <w:t>support for wellbeing and mental health</w:t>
            </w:r>
          </w:p>
          <w:p w14:paraId="2A7D54E9" w14:textId="5120F0E1" w:rsidR="00E66558"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12"/>
        <w:gridCol w:w="8200"/>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251"/>
        <w:gridCol w:w="4461"/>
      </w:tblGrid>
      <w:tr w:rsidR="00FA3279" w:rsidRPr="00FA3279" w14:paraId="4951FE2C" w14:textId="7C043E2F" w:rsidTr="00FA3279">
        <w:tc>
          <w:tcPr>
            <w:tcW w:w="971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424138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EYFS Good Level of Development to be 60% for pupil premium children</w:t>
            </w:r>
          </w:p>
        </w:tc>
        <w:tc>
          <w:tcPr>
            <w:tcW w:w="4461"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72024C92"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pupil progress meetings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9F2D" w14:textId="7777777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To be broadly in line with expected standards at Year 1 phonics, KS1 cumulative phonics, KS1 and KS2 reading, writing and Maths for pupil premium children</w:t>
            </w:r>
          </w:p>
        </w:tc>
        <w:tc>
          <w:tcPr>
            <w:tcW w:w="4461"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D23EA9" w:rsidRPr="00FA3279" w14:paraId="6EB22387" w14:textId="107B6C34"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5470" w14:textId="77777777" w:rsidR="00D23EA9" w:rsidRPr="00FA3279" w:rsidRDefault="00D23EA9" w:rsidP="006A59A5">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96% or above for pupil premium children</w:t>
            </w:r>
          </w:p>
        </w:tc>
        <w:tc>
          <w:tcPr>
            <w:tcW w:w="4461" w:type="dxa"/>
            <w:vMerge/>
            <w:tcBorders>
              <w:left w:val="single" w:sz="4" w:space="0" w:color="000000"/>
              <w:bottom w:val="single" w:sz="4" w:space="0" w:color="000000"/>
              <w:right w:val="single" w:sz="4" w:space="0" w:color="000000"/>
            </w:tcBorders>
          </w:tcPr>
          <w:p w14:paraId="69F2B366" w14:textId="77777777" w:rsidR="00D23EA9" w:rsidRPr="00FA3279" w:rsidRDefault="00D23EA9" w:rsidP="006A59A5">
            <w:pPr>
              <w:pStyle w:val="TableRow"/>
              <w:spacing w:before="0" w:after="0"/>
              <w:ind w:left="0"/>
              <w:rPr>
                <w:rFonts w:asciiTheme="minorHAnsi" w:hAnsiTheme="minorHAnsi" w:cstheme="minorHAnsi"/>
                <w:sz w:val="22"/>
                <w:szCs w:val="22"/>
              </w:rPr>
            </w:pPr>
          </w:p>
        </w:tc>
      </w:tr>
    </w:tbl>
    <w:p w14:paraId="783F1E8C" w14:textId="77777777" w:rsidR="006A59A5" w:rsidRPr="00FA3279" w:rsidRDefault="006A59A5" w:rsidP="002F7459">
      <w:pPr>
        <w:spacing w:after="0" w:line="240" w:lineRule="auto"/>
        <w:rPr>
          <w:rFonts w:asciiTheme="minorHAnsi" w:hAnsiTheme="minorHAnsi" w:cstheme="minorHAnsi"/>
          <w:color w:val="auto"/>
          <w:sz w:val="22"/>
          <w:szCs w:val="22"/>
        </w:rPr>
      </w:pPr>
    </w:p>
    <w:p w14:paraId="62EC8CEE" w14:textId="0574A0AB" w:rsidR="006A59A5" w:rsidRPr="00FA3279" w:rsidRDefault="006A59A5" w:rsidP="002F7459">
      <w:pPr>
        <w:spacing w:after="0" w:line="240" w:lineRule="auto"/>
        <w:rPr>
          <w:rFonts w:asciiTheme="minorHAnsi" w:hAnsiTheme="minorHAnsi" w:cstheme="minorHAnsi"/>
          <w:color w:val="auto"/>
          <w:sz w:val="22"/>
          <w:szCs w:val="22"/>
        </w:rPr>
      </w:pPr>
      <w:r w:rsidRPr="00FA3279">
        <w:rPr>
          <w:noProof/>
          <w:sz w:val="22"/>
          <w:szCs w:val="22"/>
        </w:rPr>
        <w:lastRenderedPageBreak/>
        <w:drawing>
          <wp:inline distT="0" distB="0" distL="0" distR="0" wp14:anchorId="72C51760" wp14:editId="0E1EA8BA">
            <wp:extent cx="5943600" cy="3559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559810"/>
                    </a:xfrm>
                    <a:prstGeom prst="rect">
                      <a:avLst/>
                    </a:prstGeom>
                  </pic:spPr>
                </pic:pic>
              </a:graphicData>
            </a:graphic>
          </wp:inline>
        </w:drawing>
      </w: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76"/>
        <w:gridCol w:w="4712"/>
        <w:gridCol w:w="152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Targeted interve</w:t>
            </w:r>
            <w:r w:rsidRPr="00FA3279">
              <w:rPr>
                <w:rFonts w:asciiTheme="minorHAnsi" w:hAnsiTheme="minorHAnsi" w:cstheme="minorHAnsi"/>
                <w:b/>
                <w:bCs/>
                <w:sz w:val="22"/>
                <w:szCs w:val="22"/>
              </w:rPr>
              <w:t>n</w:t>
            </w:r>
            <w:r w:rsidRPr="00FA3279">
              <w:rPr>
                <w:rFonts w:asciiTheme="minorHAnsi" w:hAnsiTheme="minorHAnsi" w:cstheme="minorHAnsi"/>
                <w:b/>
                <w:bCs/>
                <w:sz w:val="22"/>
                <w:szCs w:val="22"/>
              </w:rPr>
              <w:t xml:space="preserve">tions </w:t>
            </w:r>
          </w:p>
          <w:p w14:paraId="0A7110F3" w14:textId="3F02A845"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D23EA9" w:rsidRDefault="00D23EA9" w:rsidP="002F745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D23EA9" w:rsidRDefault="00D23EA9" w:rsidP="00D23EA9">
            <w:pPr>
              <w:pStyle w:val="TableRowCentered"/>
              <w:spacing w:before="0" w:after="0"/>
              <w:ind w:left="0"/>
              <w:jc w:val="left"/>
              <w:rPr>
                <w:rFonts w:asciiTheme="minorHAnsi" w:hAnsiTheme="minorHAnsi" w:cstheme="minorHAnsi"/>
                <w:sz w:val="22"/>
                <w:szCs w:val="22"/>
              </w:rPr>
            </w:pPr>
            <w:r w:rsidRPr="00D23EA9">
              <w:rPr>
                <w:rFonts w:asciiTheme="minorHAnsi" w:hAnsiTheme="minorHAnsi" w:cstheme="minorHAnsi"/>
                <w:sz w:val="22"/>
                <w:szCs w:val="22"/>
              </w:rPr>
              <w:t>Monitoring through observations</w:t>
            </w:r>
          </w:p>
          <w:p w14:paraId="72E023AE" w14:textId="1A88F777" w:rsid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Evaluation of regular</w:t>
            </w:r>
            <w:r w:rsidR="00D23EA9" w:rsidRPr="00D23EA9">
              <w:rPr>
                <w:rFonts w:asciiTheme="minorHAnsi" w:hAnsiTheme="minorHAnsi" w:cstheme="minorHAnsi"/>
                <w:sz w:val="22"/>
                <w:szCs w:val="22"/>
              </w:rPr>
              <w:t xml:space="preserve"> CPD</w:t>
            </w:r>
          </w:p>
          <w:p w14:paraId="370AF730" w14:textId="01DEDBA7"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Intervention observations and book looks </w:t>
            </w:r>
          </w:p>
          <w:p w14:paraId="5D9D4C10" w14:textId="3261C81D"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Feedback from trips using pupil voice </w:t>
            </w:r>
          </w:p>
          <w:p w14:paraId="577AABC2" w14:textId="12FD5D4B" w:rsidR="00D94BBE" w:rsidRP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Monitoring in pupil progress meetings </w:t>
            </w:r>
          </w:p>
          <w:p w14:paraId="74D2AAF1" w14:textId="77777777" w:rsidR="00D94BBE" w:rsidRDefault="00D23EA9" w:rsidP="00D94BBE">
            <w:pPr>
              <w:pStyle w:val="TableHeader"/>
              <w:spacing w:before="0" w:after="0"/>
              <w:ind w:left="0"/>
              <w:jc w:val="left"/>
              <w:rPr>
                <w:rFonts w:asciiTheme="minorHAnsi" w:hAnsiTheme="minorHAnsi" w:cstheme="minorHAnsi"/>
                <w:b w:val="0"/>
                <w:sz w:val="22"/>
                <w:szCs w:val="22"/>
              </w:rPr>
            </w:pPr>
            <w:r w:rsidRPr="00D23EA9">
              <w:rPr>
                <w:rFonts w:asciiTheme="minorHAnsi" w:hAnsiTheme="minorHAnsi" w:cstheme="minorHAnsi"/>
                <w:b w:val="0"/>
                <w:sz w:val="22"/>
                <w:szCs w:val="22"/>
              </w:rPr>
              <w:t>Systematic catch</w:t>
            </w:r>
            <w:r w:rsidR="00D94BBE">
              <w:rPr>
                <w:rFonts w:asciiTheme="minorHAnsi" w:hAnsiTheme="minorHAnsi" w:cstheme="minorHAnsi"/>
                <w:b w:val="0"/>
                <w:sz w:val="22"/>
                <w:szCs w:val="22"/>
              </w:rPr>
              <w:t>-</w:t>
            </w:r>
            <w:r w:rsidRPr="00D23EA9">
              <w:rPr>
                <w:rFonts w:asciiTheme="minorHAnsi" w:hAnsiTheme="minorHAnsi" w:cstheme="minorHAnsi"/>
                <w:b w:val="0"/>
                <w:sz w:val="22"/>
                <w:szCs w:val="22"/>
              </w:rPr>
              <w:t>up monitoring in interventions</w:t>
            </w:r>
          </w:p>
          <w:p w14:paraId="51B8A7C8" w14:textId="702943D7" w:rsidR="00D94BBE" w:rsidRPr="00D23EA9" w:rsidRDefault="00D94BBE" w:rsidP="00D94BBE">
            <w:pPr>
              <w:pStyle w:val="TableHeader"/>
              <w:spacing w:before="0" w:after="0"/>
              <w:ind w:left="0"/>
              <w:jc w:val="left"/>
              <w:rPr>
                <w:rFonts w:asciiTheme="minorHAnsi" w:hAnsiTheme="minorHAnsi" w:cstheme="minorHAnsi"/>
                <w:b w:val="0"/>
                <w:sz w:val="22"/>
                <w:szCs w:val="22"/>
              </w:rPr>
            </w:pPr>
            <w:r>
              <w:rPr>
                <w:rFonts w:asciiTheme="minorHAnsi" w:hAnsiTheme="minorHAnsi" w:cstheme="minorHAnsi"/>
                <w:b w:val="0"/>
                <w:sz w:val="22"/>
                <w:szCs w:val="22"/>
              </w:rPr>
              <w:t xml:space="preserve">Pupil voice monitoring for SEMH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D94BBE"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376179A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have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5017188"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are supported emotionally and socially in order to fully access the curriculum</w:t>
            </w:r>
            <w:r>
              <w:rPr>
                <w:rFonts w:asciiTheme="minorHAnsi" w:hAnsiTheme="minorHAnsi" w:cstheme="minorHAnsi"/>
                <w:b w:val="0"/>
                <w:bCs/>
                <w:sz w:val="22"/>
                <w:szCs w:val="22"/>
              </w:rPr>
              <w:t xml:space="preserve"> – SEMH support </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77777777"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Report on the Impact of school closures on the attainment gap</w:t>
            </w:r>
          </w:p>
          <w:p w14:paraId="18E8DDED" w14:textId="14FCB6CD" w:rsidR="00D23EA9" w:rsidRPr="00D94BBE" w:rsidRDefault="00D23EA9" w:rsidP="00D94BBE">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Guide to Supporting School Planning: A Tiered Approach to 2020-21</w:t>
            </w: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712"/>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38A42FE5" w14:textId="77777777" w:rsidR="006A59A5" w:rsidRPr="00FA3279" w:rsidRDefault="006A59A5" w:rsidP="006A59A5">
      <w:pPr>
        <w:spacing w:after="0" w:line="240" w:lineRule="auto"/>
        <w:rPr>
          <w:rFonts w:asciiTheme="minorHAnsi" w:hAnsiTheme="minorHAnsi" w:cstheme="minorHAnsi"/>
          <w:b/>
          <w:sz w:val="22"/>
          <w:szCs w:val="22"/>
        </w:rPr>
      </w:pPr>
    </w:p>
    <w:p w14:paraId="65B43DFF" w14:textId="3BE6094F" w:rsidR="00580309" w:rsidRPr="00FA3279" w:rsidRDefault="00006DD0"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£113927</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A3279" w14:paraId="2A7D5519"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FA3279"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Teaching monitoring and support – collaborative work – gap analysis – lesson study and best practice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Team leader TLR – 40% of TLR for 4 people</w:t>
            </w:r>
          </w:p>
          <w:p w14:paraId="6FF0FEFB" w14:textId="19006046"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£6666.40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All</w:t>
            </w:r>
          </w:p>
        </w:tc>
      </w:tr>
      <w:tr w:rsidR="008D406C" w:rsidRPr="00FA3279" w14:paraId="50A24638"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13C4C9C9"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Leadership development training – middle leaders’ work</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2EA7"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of Middle leader training </w:t>
            </w:r>
          </w:p>
          <w:p w14:paraId="36B43314" w14:textId="619A916C"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£4100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8D406C" w:rsidRPr="00FA3279" w14:paraId="335D058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6C23" w14:textId="43EE6BF3"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External validation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CCA2"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Local authority and writing consultant support </w:t>
            </w:r>
          </w:p>
          <w:p w14:paraId="19671FDF" w14:textId="77777777"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£600</w:t>
            </w:r>
          </w:p>
          <w:p w14:paraId="644978AB" w14:textId="23C0B020"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LA funded by project group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E66558" w:rsidRPr="00FA3279" w14:paraId="2A7D551D"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6697263"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77777777" w:rsidR="00E66558"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Teaching assistant</w:t>
            </w:r>
            <w:r w:rsidR="00580309">
              <w:rPr>
                <w:rFonts w:asciiTheme="minorHAnsi" w:hAnsiTheme="minorHAnsi" w:cstheme="minorHAnsi"/>
                <w:sz w:val="22"/>
                <w:szCs w:val="22"/>
              </w:rPr>
              <w:t xml:space="preserve"> release time – 40% of 12 days a year for </w:t>
            </w:r>
            <w:r>
              <w:rPr>
                <w:rFonts w:asciiTheme="minorHAnsi" w:hAnsiTheme="minorHAnsi" w:cstheme="minorHAnsi"/>
                <w:sz w:val="22"/>
                <w:szCs w:val="22"/>
              </w:rPr>
              <w:t>9</w:t>
            </w:r>
            <w:r w:rsidR="00580309">
              <w:rPr>
                <w:rFonts w:asciiTheme="minorHAnsi" w:hAnsiTheme="minorHAnsi" w:cstheme="minorHAnsi"/>
                <w:sz w:val="22"/>
                <w:szCs w:val="22"/>
              </w:rPr>
              <w:t xml:space="preserve"> people</w:t>
            </w:r>
          </w:p>
          <w:p w14:paraId="2A7D551B" w14:textId="0758883A"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£4818.80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6A59A5" w:rsidRPr="00FA3279" w14:paraId="047325B5"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Music, PE, Spanish and Drama/Movement </w:t>
            </w:r>
          </w:p>
          <w:p w14:paraId="28D01E9D" w14:textId="77777777" w:rsidR="00006DD0" w:rsidRDefault="00580309"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006DD0">
              <w:rPr>
                <w:rFonts w:asciiTheme="minorHAnsi" w:hAnsiTheme="minorHAnsi" w:cstheme="minorHAnsi"/>
                <w:sz w:val="22"/>
                <w:szCs w:val="22"/>
              </w:rPr>
              <w:t>all</w:t>
            </w:r>
          </w:p>
          <w:p w14:paraId="2460A829" w14:textId="6A2A7DC0" w:rsidR="00580309" w:rsidRPr="00FA3279" w:rsidRDefault="00006DD0"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£26401.20</w:t>
            </w:r>
            <w:r w:rsidR="00580309">
              <w:rPr>
                <w:rFonts w:asciiTheme="minorHAnsi" w:hAnsiTheme="minorHAnsi" w:cstheme="minorHAnsi"/>
                <w:sz w:val="22"/>
                <w:szCs w:val="22"/>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6A59A5" w:rsidRPr="00FA3279" w14:paraId="47644E70"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1D33" w14:textId="6E21FC1F"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Recruitment of new teachers and support staff</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2655"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Advertising costs </w:t>
            </w:r>
          </w:p>
          <w:p w14:paraId="0A90DC5C" w14:textId="1BBB7A5C"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£275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7D0D" w14:textId="4B12CD10"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7</w:t>
            </w:r>
          </w:p>
        </w:tc>
      </w:tr>
      <w:tr w:rsidR="00E66558" w:rsidRPr="00FA3279" w14:paraId="2A7D5521"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CC0818"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580309">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r w:rsidR="0022181E" w:rsidRPr="00FA3279">
              <w:rPr>
                <w:rFonts w:asciiTheme="minorHAnsi" w:hAnsiTheme="minorHAnsi" w:cstheme="minorHAnsi"/>
                <w:sz w:val="22"/>
                <w:szCs w:val="22"/>
              </w:rPr>
              <w:t xml:space="preserve"> </w:t>
            </w:r>
            <w:r w:rsidR="0022181E">
              <w:rPr>
                <w:rFonts w:asciiTheme="minorHAnsi" w:hAnsiTheme="minorHAnsi" w:cstheme="minorHAnsi"/>
                <w:sz w:val="22"/>
                <w:szCs w:val="22"/>
              </w:rPr>
              <w:t xml:space="preserve">and </w:t>
            </w:r>
            <w:r w:rsidR="0022181E" w:rsidRPr="00FA3279">
              <w:rPr>
                <w:rFonts w:asciiTheme="minorHAnsi" w:hAnsiTheme="minorHAnsi" w:cstheme="minorHAnsi"/>
                <w:sz w:val="22"/>
                <w:szCs w:val="22"/>
              </w:rPr>
              <w:t>TA support in class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77777777" w:rsidR="00E66558"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TA support </w:t>
            </w:r>
          </w:p>
          <w:p w14:paraId="0251DEDD" w14:textId="77777777" w:rsidR="0058030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22181E">
              <w:rPr>
                <w:rFonts w:asciiTheme="minorHAnsi" w:hAnsiTheme="minorHAnsi" w:cstheme="minorHAnsi"/>
                <w:sz w:val="22"/>
                <w:szCs w:val="22"/>
              </w:rPr>
              <w:t xml:space="preserve">9 staff </w:t>
            </w:r>
          </w:p>
          <w:p w14:paraId="2A7D551F" w14:textId="50760F98"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£69465.60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03C90DD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1CD3"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Future zone membership cost for training and networking </w:t>
            </w:r>
          </w:p>
          <w:p w14:paraId="2AA38D22" w14:textId="1847FED1"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2E9C7178" w14:textId="77777777" w:rsidR="002F7459" w:rsidRPr="00FA3279" w:rsidRDefault="002F7459" w:rsidP="002F7459">
      <w:pPr>
        <w:spacing w:after="0" w:line="240" w:lineRule="auto"/>
        <w:rPr>
          <w:rFonts w:asciiTheme="minorHAnsi" w:hAnsiTheme="minorHAnsi" w:cstheme="minorHAnsi"/>
          <w:b/>
          <w:bCs/>
          <w:color w:val="104F75"/>
          <w:sz w:val="22"/>
          <w:szCs w:val="22"/>
        </w:rPr>
      </w:pPr>
    </w:p>
    <w:p w14:paraId="2A7D5524" w14:textId="7A1DFDBB"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£65756.20</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77777777" w:rsidR="00E66558"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ad</w:t>
            </w:r>
            <w:r w:rsidR="00845F32">
              <w:rPr>
                <w:rFonts w:asciiTheme="minorHAnsi" w:hAnsiTheme="minorHAnsi" w:cstheme="minorHAnsi"/>
                <w:sz w:val="22"/>
                <w:szCs w:val="22"/>
              </w:rPr>
              <w:t>ditional teacher cost in Year 5/6</w:t>
            </w:r>
          </w:p>
          <w:p w14:paraId="2A7D552A" w14:textId="01740F2E"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£20271.60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r w:rsidR="0022181E">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r w:rsidR="008D406C">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E9D1B22"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phonics TLR </w:t>
            </w:r>
            <w:r w:rsidR="00845F32">
              <w:rPr>
                <w:rFonts w:asciiTheme="minorHAnsi" w:hAnsiTheme="minorHAnsi" w:cstheme="minorHAnsi"/>
                <w:sz w:val="22"/>
                <w:szCs w:val="22"/>
              </w:rPr>
              <w:t>- £345.60</w:t>
            </w:r>
          </w:p>
          <w:p w14:paraId="329C734B" w14:textId="4E8C079D" w:rsidR="0022181E"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4 hours a week cost </w:t>
            </w:r>
            <w:r w:rsidR="00845F32">
              <w:rPr>
                <w:rFonts w:asciiTheme="minorHAnsi" w:hAnsiTheme="minorHAnsi" w:cstheme="minorHAnsi"/>
                <w:sz w:val="22"/>
                <w:szCs w:val="22"/>
              </w:rPr>
              <w:t>(included in SEND funding)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F025EBB" w14:textId="617E15EE" w:rsidR="0022181E" w:rsidRPr="00FA3279"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FA3279" w:rsidRDefault="0022181E" w:rsidP="0022181E">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DB01" w14:textId="77777777" w:rsidR="00845F32"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w:t>
            </w:r>
            <w:r w:rsidR="00845F32">
              <w:rPr>
                <w:rFonts w:asciiTheme="minorHAnsi" w:hAnsiTheme="minorHAnsi" w:cstheme="minorHAnsi"/>
                <w:sz w:val="22"/>
                <w:szCs w:val="22"/>
              </w:rPr>
              <w:t>0% of SEND and EAL teacher cost</w:t>
            </w:r>
          </w:p>
          <w:p w14:paraId="2B79DF95"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bilingual support workers </w:t>
            </w:r>
          </w:p>
          <w:p w14:paraId="2A7D552E" w14:textId="15A20956"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£26620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FA3279" w:rsidRDefault="00D23EA9"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CGP books for hom</w:t>
            </w:r>
            <w:r w:rsidR="0022181E">
              <w:rPr>
                <w:rFonts w:asciiTheme="minorHAnsi" w:hAnsiTheme="minorHAnsi" w:cstheme="minorHAnsi"/>
                <w:sz w:val="22"/>
                <w:szCs w:val="22"/>
              </w:rPr>
              <w:t>ewo</w:t>
            </w:r>
            <w:r>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CE89C" w14:textId="77777777" w:rsidR="00D23EA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cost of books </w:t>
            </w:r>
          </w:p>
          <w:p w14:paraId="4384173E" w14:textId="7DA37241"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£3125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3 hours a week of AH, DH and H cost </w:t>
            </w:r>
          </w:p>
          <w:p w14:paraId="2C158E25" w14:textId="0D028BC3" w:rsidR="00845F32"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£15394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77777777" w:rsidR="008D406C" w:rsidRDefault="008D406C" w:rsidP="002F7459">
            <w:pPr>
              <w:pStyle w:val="TableRowCentered"/>
              <w:spacing w:before="0" w:after="0"/>
              <w:jc w:val="left"/>
              <w:rPr>
                <w:rFonts w:asciiTheme="minorHAnsi" w:hAnsiTheme="minorHAnsi" w:cstheme="minorHAnsi"/>
                <w:sz w:val="22"/>
                <w:szCs w:val="22"/>
              </w:rPr>
            </w:pP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6C22DCAE"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533" w14:textId="0AA6DB7F"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£39612.28</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F</w:t>
            </w:r>
            <w:r w:rsidR="006A59A5" w:rsidRPr="00FA3279">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5 hours a week of attendance and punctuality lead </w:t>
            </w:r>
          </w:p>
          <w:p w14:paraId="6F5491CB" w14:textId="77777777" w:rsidR="006D79F9"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2H</w:t>
            </w:r>
            <w:r>
              <w:rPr>
                <w:rFonts w:asciiTheme="minorHAnsi" w:hAnsiTheme="minorHAnsi" w:cstheme="minorHAnsi"/>
                <w:sz w:val="22"/>
                <w:szCs w:val="22"/>
              </w:rPr>
              <w:t xml:space="preserve"> of our Child and Family Support worker’s time </w:t>
            </w:r>
          </w:p>
          <w:p w14:paraId="18664936"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£4480.28</w:t>
            </w:r>
          </w:p>
          <w:p w14:paraId="2A7D553D" w14:textId="3564EC5E"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£2078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r w:rsidR="002E3775">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1A2D3CB" w:rsidR="0022181E" w:rsidRDefault="0022181E" w:rsidP="006D79F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 xml:space="preserve">residential </w:t>
            </w:r>
            <w:r>
              <w:rPr>
                <w:rFonts w:asciiTheme="minorHAnsi" w:hAnsiTheme="minorHAnsi" w:cstheme="minorHAnsi"/>
                <w:sz w:val="22"/>
                <w:szCs w:val="22"/>
              </w:rPr>
              <w:t xml:space="preserve">trip costs for the year </w:t>
            </w:r>
          </w:p>
          <w:p w14:paraId="4364E778" w14:textId="77777777" w:rsidR="0022181E" w:rsidRDefault="0022181E"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Bringing literacy to life experiences – funded by Richard Reeves </w:t>
            </w:r>
          </w:p>
          <w:p w14:paraId="4EDE5461" w14:textId="2B5A10D3" w:rsidR="006D79F9" w:rsidRDefault="003D51C3"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School f</w:t>
            </w:r>
            <w:r w:rsidR="0022181E">
              <w:rPr>
                <w:rFonts w:asciiTheme="minorHAnsi" w:hAnsiTheme="minorHAnsi" w:cstheme="minorHAnsi"/>
                <w:sz w:val="22"/>
                <w:szCs w:val="22"/>
              </w:rPr>
              <w:t xml:space="preserve">unded place for 2 pupil premium children on school journey </w:t>
            </w:r>
            <w:r w:rsidR="006D79F9" w:rsidRPr="00FA3279">
              <w:rPr>
                <w:rFonts w:asciiTheme="minorHAnsi" w:hAnsiTheme="minorHAnsi" w:cstheme="minorHAnsi"/>
                <w:sz w:val="22"/>
                <w:szCs w:val="22"/>
              </w:rPr>
              <w:t xml:space="preserve"> </w:t>
            </w:r>
          </w:p>
          <w:p w14:paraId="1A2C7FEC" w14:textId="77777777" w:rsidR="008D406C" w:rsidRDefault="008D406C"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Young Shakespeare company </w:t>
            </w:r>
          </w:p>
          <w:p w14:paraId="7BCC9E46" w14:textId="77777777" w:rsidR="002E3775" w:rsidRDefault="002E3775"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Now Press Play </w:t>
            </w:r>
          </w:p>
          <w:p w14:paraId="5B9A7674" w14:textId="77777777" w:rsidR="00845F32"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£1536</w:t>
            </w:r>
          </w:p>
          <w:p w14:paraId="1865A628" w14:textId="290D5AFE" w:rsidR="00845F32" w:rsidRPr="00FA3279"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£2395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FA3279" w:rsidRDefault="0022181E"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SEMH interventions (5 days between both CFSW)</w:t>
            </w:r>
          </w:p>
          <w:p w14:paraId="40BF0F57" w14:textId="4F92B657"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£12468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Training for staff </w:t>
            </w:r>
            <w:r w:rsidR="003D51C3">
              <w:rPr>
                <w:rFonts w:asciiTheme="minorHAnsi" w:hAnsiTheme="minorHAnsi" w:cstheme="minorHAnsi"/>
                <w:sz w:val="22"/>
                <w:szCs w:val="22"/>
              </w:rPr>
              <w:t xml:space="preserve">to support in class throughout the day </w:t>
            </w:r>
          </w:p>
          <w:p w14:paraId="4A6A0950" w14:textId="1BA7F610"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0C73A5C" w14:textId="58252DB0" w:rsidR="006D79F9" w:rsidRPr="00FA3279" w:rsidRDefault="006D79F9" w:rsidP="006D79F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lastRenderedPageBreak/>
              <w:t>2</w:t>
            </w:r>
          </w:p>
        </w:tc>
      </w:tr>
      <w:tr w:rsidR="0043307C" w:rsidRPr="00FA3279"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lastRenderedPageBreak/>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2E93E7FA" w:rsidR="003D51C3" w:rsidRDefault="003D51C3"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1/10 of our Child and Family Support worker’s time for coffee mornings and workshops </w:t>
            </w:r>
          </w:p>
          <w:p w14:paraId="159771E5" w14:textId="07D16374" w:rsidR="00845F32" w:rsidRPr="00FA3279"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p w14:paraId="09F63B58" w14:textId="190810A0" w:rsidR="006D79F9" w:rsidRPr="00FA3279" w:rsidRDefault="006D79F9" w:rsidP="002F745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2E3775" w:rsidRPr="00FA3279"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FA3279" w:rsidRDefault="002E3775"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77777777" w:rsidR="002E3775" w:rsidRDefault="002E3775"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2 hours of H, DH, AH and 2 CFSW </w:t>
            </w:r>
          </w:p>
          <w:p w14:paraId="55138042" w14:textId="7EDA5349" w:rsidR="00845F32"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£16655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Default="002E3775"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bl>
    <w:p w14:paraId="2A7D5540" w14:textId="30203728" w:rsidR="00E66558" w:rsidRPr="00FA3279" w:rsidRDefault="00E66558" w:rsidP="002F7459">
      <w:pPr>
        <w:spacing w:after="0" w:line="240" w:lineRule="auto"/>
        <w:rPr>
          <w:rFonts w:asciiTheme="minorHAnsi" w:hAnsiTheme="minorHAnsi" w:cstheme="minorHAnsi"/>
          <w:b/>
          <w:bCs/>
          <w:color w:val="104F75"/>
          <w:sz w:val="22"/>
          <w:szCs w:val="22"/>
        </w:rPr>
      </w:pPr>
    </w:p>
    <w:p w14:paraId="2A7D5541" w14:textId="35EAC8DB" w:rsidR="00E66558" w:rsidRPr="00FA3279"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b/>
          <w:bCs/>
          <w:color w:val="104F75"/>
          <w:sz w:val="22"/>
          <w:szCs w:val="22"/>
        </w:rPr>
        <w:t xml:space="preserve">Total budgeted cost: £ </w:t>
      </w:r>
      <w:r w:rsidR="00845F32">
        <w:rPr>
          <w:rFonts w:asciiTheme="minorHAnsi" w:hAnsiTheme="minorHAnsi" w:cstheme="minorHAnsi"/>
          <w:sz w:val="22"/>
          <w:szCs w:val="22"/>
        </w:rPr>
        <w:t>£219295.48</w:t>
      </w:r>
    </w:p>
    <w:p w14:paraId="2A7D5542" w14:textId="77777777" w:rsidR="00E66558" w:rsidRPr="00FA3279"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B: Review of outcomes in the previous academic year</w:t>
      </w:r>
    </w:p>
    <w:p w14:paraId="23F9C08B" w14:textId="77777777" w:rsidR="002F7459" w:rsidRPr="00FA3279" w:rsidRDefault="002F7459" w:rsidP="002F7459">
      <w:pPr>
        <w:spacing w:after="0" w:line="240" w:lineRule="auto"/>
        <w:rPr>
          <w:sz w:val="22"/>
          <w:szCs w:val="22"/>
        </w:rPr>
      </w:pPr>
    </w:p>
    <w:p w14:paraId="2A7D5543"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Pupil premium strategy outcomes</w:t>
      </w:r>
    </w:p>
    <w:p w14:paraId="36F0DBAB" w14:textId="77777777" w:rsidR="002F7459" w:rsidRPr="00FA3279" w:rsidRDefault="002F7459" w:rsidP="002F7459">
      <w:pPr>
        <w:spacing w:after="0" w:line="240" w:lineRule="auto"/>
        <w:rPr>
          <w:sz w:val="22"/>
          <w:szCs w:val="22"/>
        </w:rPr>
      </w:pPr>
    </w:p>
    <w:p w14:paraId="2A7D5544" w14:textId="47F94319" w:rsidR="00E66558" w:rsidRPr="00FA3279"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the impact that our pupil premium activity had on pupils in </w:t>
      </w:r>
      <w:r w:rsidR="000E61EF" w:rsidRPr="00FA3279">
        <w:rPr>
          <w:rFonts w:asciiTheme="minorHAnsi" w:hAnsiTheme="minorHAnsi" w:cstheme="minorHAnsi"/>
          <w:sz w:val="22"/>
          <w:szCs w:val="22"/>
        </w:rPr>
        <w:t xml:space="preserve">the 2020 to 2021 academic year </w:t>
      </w:r>
      <w:r w:rsidR="00FA3279" w:rsidRPr="00FA3279">
        <w:rPr>
          <w:rFonts w:asciiTheme="minorHAnsi" w:hAnsiTheme="minorHAnsi" w:cstheme="minorHAnsi"/>
          <w:sz w:val="22"/>
          <w:szCs w:val="22"/>
        </w:rPr>
        <w:t xml:space="preserve">considering the </w:t>
      </w:r>
      <w:r w:rsidR="000E61EF" w:rsidRPr="00FA3279">
        <w:rPr>
          <w:rFonts w:asciiTheme="minorHAnsi" w:hAnsiTheme="minorHAnsi" w:cstheme="minorHAnsi"/>
          <w:sz w:val="22"/>
          <w:szCs w:val="22"/>
        </w:rPr>
        <w:t>impact of the pandemic</w:t>
      </w:r>
      <w:r w:rsidR="00FA3279" w:rsidRPr="00FA3279">
        <w:rPr>
          <w:rFonts w:asciiTheme="minorHAnsi" w:hAnsiTheme="minorHAnsi" w:cstheme="minorHAnsi"/>
          <w:sz w:val="22"/>
          <w:szCs w:val="22"/>
        </w:rPr>
        <w:t xml:space="preserve">. </w:t>
      </w:r>
    </w:p>
    <w:p w14:paraId="408FF9E3" w14:textId="336CF1D1" w:rsidR="00FA3279" w:rsidRPr="00FA3279" w:rsidRDefault="00FA3279" w:rsidP="002F7459">
      <w:pPr>
        <w:spacing w:after="0" w:line="240" w:lineRule="auto"/>
        <w:rPr>
          <w:rFonts w:asciiTheme="minorHAnsi" w:hAnsiTheme="minorHAnsi" w:cstheme="minorHAnsi"/>
          <w:sz w:val="22"/>
          <w:szCs w:val="22"/>
        </w:rPr>
      </w:pPr>
    </w:p>
    <w:p w14:paraId="040296BB" w14:textId="77777777" w:rsidR="00FA3279" w:rsidRPr="00FA3279" w:rsidRDefault="00FA3279" w:rsidP="00FA3279">
      <w:pPr>
        <w:pStyle w:val="NoSpacing"/>
        <w:rPr>
          <w:rFonts w:cs="Calibri"/>
          <w:b/>
          <w:u w:val="single"/>
        </w:rPr>
      </w:pPr>
      <w:r w:rsidRPr="00FA3279">
        <w:rPr>
          <w:rFonts w:cs="Calibri"/>
          <w:b/>
          <w:u w:val="single"/>
        </w:rPr>
        <w:t>Pakeman Primary School</w:t>
      </w:r>
    </w:p>
    <w:p w14:paraId="725D3B74" w14:textId="77777777" w:rsidR="00FA3279" w:rsidRPr="00FA3279" w:rsidRDefault="00FA3279" w:rsidP="00FA3279">
      <w:pPr>
        <w:pStyle w:val="NoSpacing"/>
        <w:rPr>
          <w:rFonts w:cs="Calibri"/>
          <w:bCs/>
        </w:rPr>
      </w:pPr>
      <w:r w:rsidRPr="00FA3279">
        <w:rPr>
          <w:rFonts w:cs="Calibri"/>
          <w:bCs/>
        </w:rPr>
        <w:t xml:space="preserve">During 2019/20 and 2020/21, all children spent 6 ½ months in lockdown with home learning provision. </w:t>
      </w:r>
    </w:p>
    <w:p w14:paraId="7DBEC1D4" w14:textId="77777777" w:rsidR="00FA3279" w:rsidRPr="00FA3279" w:rsidRDefault="00FA3279" w:rsidP="00FA3279">
      <w:pPr>
        <w:pStyle w:val="NoSpacing"/>
        <w:rPr>
          <w:rFonts w:cs="Calibri"/>
          <w:b/>
          <w:u w:val="single"/>
        </w:rPr>
      </w:pPr>
    </w:p>
    <w:p w14:paraId="1A1EE96A" w14:textId="77777777" w:rsidR="00FA3279" w:rsidRPr="00FA3279" w:rsidRDefault="00FA3279" w:rsidP="00FA3279">
      <w:pPr>
        <w:pStyle w:val="NoSpacing"/>
        <w:rPr>
          <w:rFonts w:cs="Calibri"/>
        </w:rPr>
      </w:pPr>
      <w:r w:rsidRPr="00FA3279">
        <w:rPr>
          <w:rFonts w:cs="Calibri"/>
          <w:b/>
          <w:u w:val="single"/>
        </w:rPr>
        <w:t>Year 2 cohort 2020-21</w:t>
      </w:r>
    </w:p>
    <w:p w14:paraId="2EED43AD" w14:textId="77777777" w:rsidR="00FA3279" w:rsidRPr="00FA3279" w:rsidRDefault="00FA3279" w:rsidP="00FA3279">
      <w:pPr>
        <w:pStyle w:val="NoSpacing"/>
        <w:rPr>
          <w:rFonts w:cs="Calibri"/>
          <w:b/>
        </w:rPr>
      </w:pPr>
    </w:p>
    <w:p w14:paraId="5F4A1837" w14:textId="77777777" w:rsidR="00FA3279" w:rsidRPr="00FA3279" w:rsidRDefault="00FA3279" w:rsidP="00FA3279">
      <w:pPr>
        <w:pStyle w:val="NoSpacing"/>
        <w:rPr>
          <w:rFonts w:cs="Calibri"/>
        </w:rPr>
      </w:pPr>
      <w:r w:rsidRPr="00FA3279">
        <w:rPr>
          <w:rFonts w:cs="Calibri"/>
        </w:rPr>
        <w:t>27 pupils (out of 39) in our Year 2 2020-21 cohort joined Pakeman at the start of Reception (or earlier). We have tracked the attainment of these children at the end of Reception (GLD data) and their Year 2 SATs. We have also measured their progress between the two stages.</w:t>
      </w:r>
    </w:p>
    <w:p w14:paraId="388FE40D" w14:textId="77777777" w:rsidR="00FA3279" w:rsidRPr="00FA3279" w:rsidRDefault="00FA3279" w:rsidP="00FA3279">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FA3279" w:rsidRPr="00FA3279" w14:paraId="49269B74" w14:textId="77777777" w:rsidTr="002D4FFE">
        <w:tc>
          <w:tcPr>
            <w:tcW w:w="3681" w:type="dxa"/>
            <w:shd w:val="clear" w:color="auto" w:fill="C5E0B3"/>
          </w:tcPr>
          <w:p w14:paraId="032C9A0C" w14:textId="77777777" w:rsidR="00FA3279" w:rsidRPr="00FA3279" w:rsidRDefault="00FA3279" w:rsidP="002D4FFE">
            <w:pPr>
              <w:pStyle w:val="NoSpacing"/>
              <w:rPr>
                <w:rFonts w:cs="Calibri"/>
                <w:b/>
              </w:rPr>
            </w:pPr>
            <w:r w:rsidRPr="00FA3279">
              <w:rPr>
                <w:rFonts w:cs="Calibri"/>
                <w:b/>
              </w:rPr>
              <w:t>Attainment in Year 2 (2020-21)</w:t>
            </w:r>
          </w:p>
          <w:p w14:paraId="611E713C" w14:textId="77777777" w:rsidR="00FA3279" w:rsidRPr="00FA3279" w:rsidRDefault="00FA3279" w:rsidP="002D4FFE">
            <w:pPr>
              <w:pStyle w:val="NoSpacing"/>
              <w:rPr>
                <w:rFonts w:cs="Calibri"/>
              </w:rPr>
            </w:pPr>
          </w:p>
        </w:tc>
        <w:tc>
          <w:tcPr>
            <w:tcW w:w="2693" w:type="dxa"/>
            <w:shd w:val="clear" w:color="auto" w:fill="C5E0B3"/>
          </w:tcPr>
          <w:p w14:paraId="67EAF173" w14:textId="77777777" w:rsidR="00FA3279" w:rsidRPr="00FA3279" w:rsidRDefault="00FA3279" w:rsidP="002D4FFE">
            <w:pPr>
              <w:pStyle w:val="NoSpacing"/>
              <w:jc w:val="center"/>
              <w:rPr>
                <w:rFonts w:cs="Calibri"/>
              </w:rPr>
            </w:pPr>
            <w:r w:rsidRPr="00FA3279">
              <w:rPr>
                <w:rFonts w:cs="Calibri"/>
              </w:rPr>
              <w:t>Working at</w:t>
            </w:r>
          </w:p>
        </w:tc>
        <w:tc>
          <w:tcPr>
            <w:tcW w:w="2642" w:type="dxa"/>
            <w:shd w:val="clear" w:color="auto" w:fill="C5E0B3"/>
          </w:tcPr>
          <w:p w14:paraId="3B3DB3C7" w14:textId="77777777" w:rsidR="00FA3279" w:rsidRPr="00FA3279" w:rsidRDefault="00FA3279" w:rsidP="002D4FFE">
            <w:pPr>
              <w:pStyle w:val="NoSpacing"/>
              <w:jc w:val="center"/>
              <w:rPr>
                <w:rFonts w:cs="Calibri"/>
              </w:rPr>
            </w:pPr>
            <w:r w:rsidRPr="00FA3279">
              <w:rPr>
                <w:rFonts w:cs="Calibri"/>
              </w:rPr>
              <w:t>Greater depth</w:t>
            </w:r>
          </w:p>
        </w:tc>
      </w:tr>
      <w:tr w:rsidR="00FA3279" w:rsidRPr="00FA3279" w14:paraId="61B562DA" w14:textId="77777777" w:rsidTr="002D4FFE">
        <w:tc>
          <w:tcPr>
            <w:tcW w:w="3681" w:type="dxa"/>
            <w:shd w:val="clear" w:color="auto" w:fill="C5E0B3"/>
          </w:tcPr>
          <w:p w14:paraId="692699E3" w14:textId="77777777" w:rsidR="00FA3279" w:rsidRPr="00FA3279" w:rsidRDefault="00FA3279" w:rsidP="002D4FFE">
            <w:pPr>
              <w:pStyle w:val="NoSpacing"/>
              <w:rPr>
                <w:rFonts w:cs="Calibri"/>
              </w:rPr>
            </w:pPr>
            <w:r w:rsidRPr="00FA3279">
              <w:rPr>
                <w:rFonts w:cs="Calibri"/>
              </w:rPr>
              <w:t>Reading</w:t>
            </w:r>
          </w:p>
        </w:tc>
        <w:tc>
          <w:tcPr>
            <w:tcW w:w="2693" w:type="dxa"/>
            <w:shd w:val="clear" w:color="auto" w:fill="auto"/>
          </w:tcPr>
          <w:p w14:paraId="08EA9720" w14:textId="77777777" w:rsidR="00FA3279" w:rsidRPr="00FA3279" w:rsidRDefault="00FA3279" w:rsidP="002D4FFE">
            <w:pPr>
              <w:pStyle w:val="NoSpacing"/>
              <w:jc w:val="center"/>
              <w:rPr>
                <w:rFonts w:cs="Calibri"/>
              </w:rPr>
            </w:pPr>
            <w:r w:rsidRPr="00FA3279">
              <w:rPr>
                <w:rFonts w:cs="Calibri"/>
              </w:rPr>
              <w:t xml:space="preserve">20/27   </w:t>
            </w:r>
            <w:r w:rsidRPr="00FA3279">
              <w:rPr>
                <w:rFonts w:cs="Calibri"/>
                <w:b/>
              </w:rPr>
              <w:t>(74%)</w:t>
            </w:r>
          </w:p>
        </w:tc>
        <w:tc>
          <w:tcPr>
            <w:tcW w:w="2642" w:type="dxa"/>
            <w:shd w:val="clear" w:color="auto" w:fill="auto"/>
          </w:tcPr>
          <w:p w14:paraId="2AB44B31" w14:textId="77777777" w:rsidR="00FA3279" w:rsidRPr="00FA3279" w:rsidRDefault="00FA3279" w:rsidP="002D4FFE">
            <w:pPr>
              <w:pStyle w:val="NoSpacing"/>
              <w:jc w:val="center"/>
              <w:rPr>
                <w:rFonts w:cs="Calibri"/>
              </w:rPr>
            </w:pPr>
            <w:r w:rsidRPr="00FA3279">
              <w:rPr>
                <w:rFonts w:cs="Calibri"/>
              </w:rPr>
              <w:t xml:space="preserve">4/27   </w:t>
            </w:r>
            <w:r w:rsidRPr="00FA3279">
              <w:rPr>
                <w:rFonts w:cs="Calibri"/>
                <w:b/>
              </w:rPr>
              <w:t>(15%)</w:t>
            </w:r>
          </w:p>
        </w:tc>
      </w:tr>
      <w:tr w:rsidR="00FA3279" w:rsidRPr="00FA3279" w14:paraId="68AC74B1" w14:textId="77777777" w:rsidTr="002D4FFE">
        <w:tc>
          <w:tcPr>
            <w:tcW w:w="3681" w:type="dxa"/>
            <w:shd w:val="clear" w:color="auto" w:fill="C5E0B3"/>
          </w:tcPr>
          <w:p w14:paraId="069E2D0D" w14:textId="77777777" w:rsidR="00FA3279" w:rsidRPr="00FA3279" w:rsidRDefault="00FA3279" w:rsidP="002D4FFE">
            <w:pPr>
              <w:pStyle w:val="NoSpacing"/>
              <w:rPr>
                <w:rFonts w:cs="Calibri"/>
              </w:rPr>
            </w:pPr>
            <w:r w:rsidRPr="00FA3279">
              <w:rPr>
                <w:rFonts w:cs="Calibri"/>
              </w:rPr>
              <w:t>Writing</w:t>
            </w:r>
          </w:p>
        </w:tc>
        <w:tc>
          <w:tcPr>
            <w:tcW w:w="2693" w:type="dxa"/>
            <w:shd w:val="clear" w:color="auto" w:fill="auto"/>
          </w:tcPr>
          <w:p w14:paraId="7D32F5C1" w14:textId="77777777" w:rsidR="00FA3279" w:rsidRPr="00FA3279" w:rsidRDefault="00FA3279" w:rsidP="002D4FFE">
            <w:pPr>
              <w:pStyle w:val="NoSpacing"/>
              <w:jc w:val="center"/>
              <w:rPr>
                <w:rFonts w:cs="Calibri"/>
              </w:rPr>
            </w:pPr>
            <w:r w:rsidRPr="00FA3279">
              <w:rPr>
                <w:rFonts w:cs="Calibri"/>
              </w:rPr>
              <w:t xml:space="preserve">19/27   </w:t>
            </w:r>
            <w:r w:rsidRPr="00FA3279">
              <w:rPr>
                <w:rFonts w:cs="Calibri"/>
                <w:b/>
              </w:rPr>
              <w:t>(70%)</w:t>
            </w:r>
          </w:p>
        </w:tc>
        <w:tc>
          <w:tcPr>
            <w:tcW w:w="2642" w:type="dxa"/>
            <w:shd w:val="clear" w:color="auto" w:fill="auto"/>
          </w:tcPr>
          <w:p w14:paraId="270AE97F" w14:textId="77777777" w:rsidR="00FA3279" w:rsidRPr="00FA3279" w:rsidRDefault="00FA3279" w:rsidP="002D4FFE">
            <w:pPr>
              <w:pStyle w:val="NoSpacing"/>
              <w:jc w:val="center"/>
              <w:rPr>
                <w:rFonts w:cs="Calibri"/>
              </w:rPr>
            </w:pPr>
            <w:r w:rsidRPr="00FA3279">
              <w:rPr>
                <w:rFonts w:cs="Calibri"/>
              </w:rPr>
              <w:t xml:space="preserve">4/27   </w:t>
            </w:r>
            <w:r w:rsidRPr="00FA3279">
              <w:rPr>
                <w:rFonts w:cs="Calibri"/>
                <w:b/>
              </w:rPr>
              <w:t>(15%)</w:t>
            </w:r>
          </w:p>
        </w:tc>
      </w:tr>
      <w:tr w:rsidR="00FA3279" w:rsidRPr="00FA3279" w14:paraId="7A6FD0C3" w14:textId="77777777" w:rsidTr="002D4FFE">
        <w:tc>
          <w:tcPr>
            <w:tcW w:w="3681" w:type="dxa"/>
            <w:shd w:val="clear" w:color="auto" w:fill="C5E0B3"/>
          </w:tcPr>
          <w:p w14:paraId="3B05960C" w14:textId="77777777" w:rsidR="00FA3279" w:rsidRPr="00FA3279" w:rsidRDefault="00FA3279" w:rsidP="002D4FFE">
            <w:pPr>
              <w:pStyle w:val="NoSpacing"/>
              <w:rPr>
                <w:rFonts w:cs="Calibri"/>
              </w:rPr>
            </w:pPr>
            <w:r w:rsidRPr="00FA3279">
              <w:rPr>
                <w:rFonts w:cs="Calibri"/>
              </w:rPr>
              <w:t>Maths</w:t>
            </w:r>
          </w:p>
        </w:tc>
        <w:tc>
          <w:tcPr>
            <w:tcW w:w="2693" w:type="dxa"/>
            <w:shd w:val="clear" w:color="auto" w:fill="auto"/>
          </w:tcPr>
          <w:p w14:paraId="605A2BD7" w14:textId="77777777" w:rsidR="00FA3279" w:rsidRPr="00FA3279" w:rsidRDefault="00FA3279" w:rsidP="002D4FFE">
            <w:pPr>
              <w:pStyle w:val="NoSpacing"/>
              <w:jc w:val="center"/>
              <w:rPr>
                <w:rFonts w:cs="Calibri"/>
              </w:rPr>
            </w:pPr>
            <w:r w:rsidRPr="00FA3279">
              <w:rPr>
                <w:rFonts w:cs="Calibri"/>
              </w:rPr>
              <w:t xml:space="preserve">19/27   </w:t>
            </w:r>
            <w:r w:rsidRPr="00FA3279">
              <w:rPr>
                <w:rFonts w:cs="Calibri"/>
                <w:b/>
              </w:rPr>
              <w:t>(70%)</w:t>
            </w:r>
          </w:p>
        </w:tc>
        <w:tc>
          <w:tcPr>
            <w:tcW w:w="2642" w:type="dxa"/>
            <w:shd w:val="clear" w:color="auto" w:fill="auto"/>
          </w:tcPr>
          <w:p w14:paraId="7E50BD01" w14:textId="77777777" w:rsidR="00FA3279" w:rsidRPr="00FA3279" w:rsidRDefault="00FA3279" w:rsidP="002D4FFE">
            <w:pPr>
              <w:pStyle w:val="NoSpacing"/>
              <w:jc w:val="center"/>
              <w:rPr>
                <w:rFonts w:cs="Calibri"/>
              </w:rPr>
            </w:pPr>
            <w:r w:rsidRPr="00FA3279">
              <w:rPr>
                <w:rFonts w:cs="Calibri"/>
              </w:rPr>
              <w:t xml:space="preserve">5/27   </w:t>
            </w:r>
            <w:r w:rsidRPr="00FA3279">
              <w:rPr>
                <w:rFonts w:cs="Calibri"/>
                <w:b/>
              </w:rPr>
              <w:t>(19%)</w:t>
            </w:r>
          </w:p>
        </w:tc>
      </w:tr>
    </w:tbl>
    <w:p w14:paraId="2EA8BD5B" w14:textId="77777777" w:rsidR="00FA3279" w:rsidRPr="00FA3279" w:rsidRDefault="00FA3279" w:rsidP="00FA3279">
      <w:pPr>
        <w:pStyle w:val="NoSpacing"/>
        <w:rPr>
          <w:rFonts w:cs="Calibri"/>
          <w:b/>
        </w:rPr>
      </w:pPr>
    </w:p>
    <w:p w14:paraId="1A7510EC" w14:textId="77777777" w:rsidR="00FA3279" w:rsidRPr="00FA3279" w:rsidRDefault="00FA3279" w:rsidP="00FA3279">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FA3279" w:rsidRPr="00FA3279" w14:paraId="49DA7075" w14:textId="77777777" w:rsidTr="002D4FFE">
        <w:tc>
          <w:tcPr>
            <w:tcW w:w="3681" w:type="dxa"/>
            <w:shd w:val="clear" w:color="auto" w:fill="FFE599"/>
          </w:tcPr>
          <w:p w14:paraId="1816DE71" w14:textId="77777777" w:rsidR="00FA3279" w:rsidRPr="00FA3279" w:rsidRDefault="00FA3279" w:rsidP="002D4FFE">
            <w:pPr>
              <w:pStyle w:val="NoSpacing"/>
              <w:rPr>
                <w:rFonts w:cs="Calibri"/>
                <w:b/>
              </w:rPr>
            </w:pPr>
            <w:r w:rsidRPr="00FA3279">
              <w:rPr>
                <w:rFonts w:cs="Calibri"/>
                <w:b/>
              </w:rPr>
              <w:t xml:space="preserve">Attainment in Reception </w:t>
            </w:r>
          </w:p>
          <w:p w14:paraId="40604B13" w14:textId="77777777" w:rsidR="00FA3279" w:rsidRPr="00FA3279" w:rsidRDefault="00FA3279" w:rsidP="002D4FFE">
            <w:pPr>
              <w:pStyle w:val="NoSpacing"/>
              <w:rPr>
                <w:rFonts w:cs="Calibri"/>
                <w:b/>
              </w:rPr>
            </w:pPr>
            <w:r w:rsidRPr="00FA3279">
              <w:rPr>
                <w:rFonts w:cs="Calibri"/>
                <w:b/>
              </w:rPr>
              <w:t>(2018-19)</w:t>
            </w:r>
          </w:p>
          <w:p w14:paraId="492CF051" w14:textId="77777777" w:rsidR="00FA3279" w:rsidRPr="00FA3279" w:rsidRDefault="00FA3279" w:rsidP="002D4FFE">
            <w:pPr>
              <w:pStyle w:val="NoSpacing"/>
              <w:rPr>
                <w:rFonts w:cs="Calibri"/>
              </w:rPr>
            </w:pPr>
          </w:p>
        </w:tc>
        <w:tc>
          <w:tcPr>
            <w:tcW w:w="2693" w:type="dxa"/>
            <w:shd w:val="clear" w:color="auto" w:fill="FFE599"/>
          </w:tcPr>
          <w:p w14:paraId="5C0C3A27" w14:textId="77777777" w:rsidR="00FA3279" w:rsidRPr="00FA3279" w:rsidRDefault="00FA3279" w:rsidP="002D4FFE">
            <w:pPr>
              <w:pStyle w:val="NoSpacing"/>
              <w:jc w:val="center"/>
              <w:rPr>
                <w:rFonts w:cs="Calibri"/>
              </w:rPr>
            </w:pPr>
            <w:r w:rsidRPr="00FA3279">
              <w:rPr>
                <w:rFonts w:cs="Calibri"/>
              </w:rPr>
              <w:t>Working at</w:t>
            </w:r>
          </w:p>
        </w:tc>
        <w:tc>
          <w:tcPr>
            <w:tcW w:w="2642" w:type="dxa"/>
            <w:shd w:val="clear" w:color="auto" w:fill="FFE599"/>
          </w:tcPr>
          <w:p w14:paraId="5C1FC521" w14:textId="77777777" w:rsidR="00FA3279" w:rsidRPr="00FA3279" w:rsidRDefault="00FA3279" w:rsidP="002D4FFE">
            <w:pPr>
              <w:pStyle w:val="NoSpacing"/>
              <w:jc w:val="center"/>
              <w:rPr>
                <w:rFonts w:cs="Calibri"/>
              </w:rPr>
            </w:pPr>
            <w:r w:rsidRPr="00FA3279">
              <w:rPr>
                <w:rFonts w:cs="Calibri"/>
              </w:rPr>
              <w:t>Greater depth</w:t>
            </w:r>
          </w:p>
        </w:tc>
      </w:tr>
      <w:tr w:rsidR="00FA3279" w:rsidRPr="00FA3279" w14:paraId="740FCE73" w14:textId="77777777" w:rsidTr="002D4FFE">
        <w:tc>
          <w:tcPr>
            <w:tcW w:w="3681" w:type="dxa"/>
            <w:shd w:val="clear" w:color="auto" w:fill="FFE599"/>
          </w:tcPr>
          <w:p w14:paraId="5C1920CD" w14:textId="77777777" w:rsidR="00FA3279" w:rsidRPr="00FA3279" w:rsidRDefault="00FA3279" w:rsidP="002D4FFE">
            <w:pPr>
              <w:pStyle w:val="NoSpacing"/>
              <w:rPr>
                <w:rFonts w:cs="Calibri"/>
              </w:rPr>
            </w:pPr>
            <w:r w:rsidRPr="00FA3279">
              <w:rPr>
                <w:rFonts w:cs="Calibri"/>
              </w:rPr>
              <w:t>Reading</w:t>
            </w:r>
          </w:p>
        </w:tc>
        <w:tc>
          <w:tcPr>
            <w:tcW w:w="2693" w:type="dxa"/>
            <w:shd w:val="clear" w:color="auto" w:fill="auto"/>
          </w:tcPr>
          <w:p w14:paraId="4B0C52AE" w14:textId="77777777" w:rsidR="00FA3279" w:rsidRPr="00FA3279" w:rsidRDefault="00FA3279" w:rsidP="002D4FFE">
            <w:pPr>
              <w:pStyle w:val="NoSpacing"/>
              <w:jc w:val="center"/>
              <w:rPr>
                <w:rFonts w:cs="Calibri"/>
              </w:rPr>
            </w:pPr>
            <w:r w:rsidRPr="00FA3279">
              <w:rPr>
                <w:rFonts w:cs="Calibri"/>
              </w:rPr>
              <w:t xml:space="preserve">18/27   </w:t>
            </w:r>
            <w:r w:rsidRPr="00FA3279">
              <w:rPr>
                <w:rFonts w:cs="Calibri"/>
                <w:b/>
              </w:rPr>
              <w:t>(67%)</w:t>
            </w:r>
          </w:p>
        </w:tc>
        <w:tc>
          <w:tcPr>
            <w:tcW w:w="2642" w:type="dxa"/>
            <w:shd w:val="clear" w:color="auto" w:fill="auto"/>
          </w:tcPr>
          <w:p w14:paraId="32CCC0DE" w14:textId="77777777" w:rsidR="00FA3279" w:rsidRPr="00FA3279" w:rsidRDefault="00FA3279" w:rsidP="002D4FFE">
            <w:pPr>
              <w:pStyle w:val="NoSpacing"/>
              <w:jc w:val="center"/>
              <w:rPr>
                <w:rFonts w:cs="Calibri"/>
              </w:rPr>
            </w:pPr>
            <w:r w:rsidRPr="00FA3279">
              <w:rPr>
                <w:rFonts w:cs="Calibri"/>
              </w:rPr>
              <w:t xml:space="preserve">0/27   </w:t>
            </w:r>
            <w:r w:rsidRPr="00FA3279">
              <w:rPr>
                <w:rFonts w:cs="Calibri"/>
                <w:b/>
              </w:rPr>
              <w:t>(0%)</w:t>
            </w:r>
          </w:p>
        </w:tc>
      </w:tr>
      <w:tr w:rsidR="00FA3279" w:rsidRPr="00FA3279" w14:paraId="7F7934EE" w14:textId="77777777" w:rsidTr="002D4FFE">
        <w:tc>
          <w:tcPr>
            <w:tcW w:w="3681" w:type="dxa"/>
            <w:shd w:val="clear" w:color="auto" w:fill="FFE599"/>
          </w:tcPr>
          <w:p w14:paraId="1D700EC3" w14:textId="77777777" w:rsidR="00FA3279" w:rsidRPr="00FA3279" w:rsidRDefault="00FA3279" w:rsidP="002D4FFE">
            <w:pPr>
              <w:pStyle w:val="NoSpacing"/>
              <w:rPr>
                <w:rFonts w:cs="Calibri"/>
              </w:rPr>
            </w:pPr>
            <w:r w:rsidRPr="00FA3279">
              <w:rPr>
                <w:rFonts w:cs="Calibri"/>
              </w:rPr>
              <w:t>Writing</w:t>
            </w:r>
          </w:p>
        </w:tc>
        <w:tc>
          <w:tcPr>
            <w:tcW w:w="2693" w:type="dxa"/>
            <w:shd w:val="clear" w:color="auto" w:fill="auto"/>
          </w:tcPr>
          <w:p w14:paraId="6EF3016A" w14:textId="77777777" w:rsidR="00FA3279" w:rsidRPr="00FA3279" w:rsidRDefault="00FA3279" w:rsidP="002D4FFE">
            <w:pPr>
              <w:pStyle w:val="NoSpacing"/>
              <w:jc w:val="center"/>
              <w:rPr>
                <w:rFonts w:cs="Calibri"/>
              </w:rPr>
            </w:pPr>
            <w:r w:rsidRPr="00FA3279">
              <w:rPr>
                <w:rFonts w:cs="Calibri"/>
              </w:rPr>
              <w:t xml:space="preserve">17/27   </w:t>
            </w:r>
            <w:r w:rsidRPr="00FA3279">
              <w:rPr>
                <w:rFonts w:cs="Calibri"/>
                <w:b/>
              </w:rPr>
              <w:t>(63%)</w:t>
            </w:r>
          </w:p>
        </w:tc>
        <w:tc>
          <w:tcPr>
            <w:tcW w:w="2642" w:type="dxa"/>
            <w:shd w:val="clear" w:color="auto" w:fill="auto"/>
          </w:tcPr>
          <w:p w14:paraId="7B8A30A5" w14:textId="77777777" w:rsidR="00FA3279" w:rsidRPr="00FA3279" w:rsidRDefault="00FA3279" w:rsidP="002D4FFE">
            <w:pPr>
              <w:pStyle w:val="NoSpacing"/>
              <w:jc w:val="center"/>
              <w:rPr>
                <w:rFonts w:cs="Calibri"/>
              </w:rPr>
            </w:pPr>
            <w:r w:rsidRPr="00FA3279">
              <w:rPr>
                <w:rFonts w:cs="Calibri"/>
              </w:rPr>
              <w:t xml:space="preserve">1/27   </w:t>
            </w:r>
            <w:r w:rsidRPr="00FA3279">
              <w:rPr>
                <w:rFonts w:cs="Calibri"/>
                <w:b/>
              </w:rPr>
              <w:t>(4%)</w:t>
            </w:r>
          </w:p>
        </w:tc>
      </w:tr>
      <w:tr w:rsidR="00FA3279" w:rsidRPr="00FA3279" w14:paraId="6D607922" w14:textId="77777777" w:rsidTr="002D4FFE">
        <w:tc>
          <w:tcPr>
            <w:tcW w:w="3681" w:type="dxa"/>
            <w:shd w:val="clear" w:color="auto" w:fill="FFE599"/>
          </w:tcPr>
          <w:p w14:paraId="67F08C90" w14:textId="77777777" w:rsidR="00FA3279" w:rsidRPr="00FA3279" w:rsidRDefault="00FA3279" w:rsidP="002D4FFE">
            <w:pPr>
              <w:pStyle w:val="NoSpacing"/>
              <w:rPr>
                <w:rFonts w:cs="Calibri"/>
              </w:rPr>
            </w:pPr>
            <w:r w:rsidRPr="00FA3279">
              <w:rPr>
                <w:rFonts w:cs="Calibri"/>
              </w:rPr>
              <w:t>Maths</w:t>
            </w:r>
          </w:p>
        </w:tc>
        <w:tc>
          <w:tcPr>
            <w:tcW w:w="2693" w:type="dxa"/>
            <w:shd w:val="clear" w:color="auto" w:fill="auto"/>
          </w:tcPr>
          <w:p w14:paraId="124D6521" w14:textId="77777777" w:rsidR="00FA3279" w:rsidRPr="00FA3279" w:rsidRDefault="00FA3279" w:rsidP="002D4FFE">
            <w:pPr>
              <w:pStyle w:val="NoSpacing"/>
              <w:jc w:val="center"/>
              <w:rPr>
                <w:rFonts w:cs="Calibri"/>
              </w:rPr>
            </w:pPr>
            <w:r w:rsidRPr="00FA3279">
              <w:rPr>
                <w:rFonts w:cs="Calibri"/>
              </w:rPr>
              <w:t xml:space="preserve">19/27   </w:t>
            </w:r>
            <w:r w:rsidRPr="00FA3279">
              <w:rPr>
                <w:rFonts w:cs="Calibri"/>
                <w:b/>
              </w:rPr>
              <w:t>(70%)</w:t>
            </w:r>
          </w:p>
        </w:tc>
        <w:tc>
          <w:tcPr>
            <w:tcW w:w="2642" w:type="dxa"/>
            <w:shd w:val="clear" w:color="auto" w:fill="auto"/>
          </w:tcPr>
          <w:p w14:paraId="3E2D5D48" w14:textId="77777777" w:rsidR="00FA3279" w:rsidRPr="00FA3279" w:rsidRDefault="00FA3279" w:rsidP="002D4FFE">
            <w:pPr>
              <w:pStyle w:val="NoSpacing"/>
              <w:jc w:val="center"/>
              <w:rPr>
                <w:rFonts w:cs="Calibri"/>
              </w:rPr>
            </w:pPr>
            <w:r w:rsidRPr="00FA3279">
              <w:rPr>
                <w:rFonts w:cs="Calibri"/>
              </w:rPr>
              <w:t xml:space="preserve">1/27   </w:t>
            </w:r>
            <w:r w:rsidRPr="00FA3279">
              <w:rPr>
                <w:rFonts w:cs="Calibri"/>
                <w:b/>
              </w:rPr>
              <w:t>(4%)</w:t>
            </w:r>
          </w:p>
        </w:tc>
      </w:tr>
    </w:tbl>
    <w:p w14:paraId="2913EF5C" w14:textId="77777777" w:rsidR="00FA3279" w:rsidRPr="00FA3279" w:rsidRDefault="00FA3279" w:rsidP="00FA3279">
      <w:pPr>
        <w:pStyle w:val="NoSpacing"/>
        <w:rPr>
          <w:rFonts w:cs="Calibri"/>
          <w:b/>
        </w:rPr>
      </w:pPr>
    </w:p>
    <w:p w14:paraId="7CD2665F" w14:textId="77777777" w:rsidR="00FA3279" w:rsidRPr="00FA3279" w:rsidRDefault="00FA3279" w:rsidP="00FA3279">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FA3279" w:rsidRPr="00FA3279" w14:paraId="71859D03" w14:textId="77777777" w:rsidTr="002D4FFE">
        <w:tc>
          <w:tcPr>
            <w:tcW w:w="3681" w:type="dxa"/>
            <w:shd w:val="clear" w:color="auto" w:fill="D9D9D9"/>
          </w:tcPr>
          <w:p w14:paraId="2EAE556E" w14:textId="77777777" w:rsidR="00FA3279" w:rsidRPr="00FA3279" w:rsidRDefault="00FA3279" w:rsidP="002D4FFE">
            <w:pPr>
              <w:pStyle w:val="NoSpacing"/>
              <w:rPr>
                <w:rFonts w:cs="Calibri"/>
                <w:b/>
              </w:rPr>
            </w:pPr>
            <w:r w:rsidRPr="00FA3279">
              <w:rPr>
                <w:rFonts w:cs="Calibri"/>
                <w:b/>
              </w:rPr>
              <w:t>Progress from Reception (2018-19)</w:t>
            </w:r>
          </w:p>
          <w:p w14:paraId="71102DCE" w14:textId="77777777" w:rsidR="00FA3279" w:rsidRPr="00FA3279" w:rsidRDefault="00FA3279" w:rsidP="002D4FFE">
            <w:pPr>
              <w:pStyle w:val="NoSpacing"/>
              <w:rPr>
                <w:rFonts w:cs="Calibri"/>
                <w:b/>
              </w:rPr>
            </w:pPr>
            <w:r w:rsidRPr="00FA3279">
              <w:rPr>
                <w:rFonts w:cs="Calibri"/>
                <w:b/>
              </w:rPr>
              <w:t>to Year 2 (2020-21)</w:t>
            </w:r>
          </w:p>
        </w:tc>
        <w:tc>
          <w:tcPr>
            <w:tcW w:w="2693" w:type="dxa"/>
            <w:shd w:val="clear" w:color="auto" w:fill="D9D9D9"/>
          </w:tcPr>
          <w:p w14:paraId="14BA37AB" w14:textId="77777777" w:rsidR="00FA3279" w:rsidRPr="00FA3279" w:rsidRDefault="00FA3279" w:rsidP="002D4FFE">
            <w:pPr>
              <w:pStyle w:val="NoSpacing"/>
              <w:jc w:val="center"/>
              <w:rPr>
                <w:rFonts w:cs="Calibri"/>
              </w:rPr>
            </w:pPr>
            <w:r w:rsidRPr="00FA3279">
              <w:rPr>
                <w:rFonts w:cs="Calibri"/>
              </w:rPr>
              <w:t xml:space="preserve">Good or better progress </w:t>
            </w:r>
          </w:p>
        </w:tc>
        <w:tc>
          <w:tcPr>
            <w:tcW w:w="2642" w:type="dxa"/>
            <w:shd w:val="clear" w:color="auto" w:fill="D9D9D9"/>
          </w:tcPr>
          <w:p w14:paraId="46F64A1A" w14:textId="77777777" w:rsidR="00FA3279" w:rsidRPr="00FA3279" w:rsidRDefault="00FA3279" w:rsidP="002D4FFE">
            <w:pPr>
              <w:pStyle w:val="NoSpacing"/>
              <w:jc w:val="center"/>
              <w:rPr>
                <w:rFonts w:cs="Calibri"/>
              </w:rPr>
            </w:pPr>
            <w:r w:rsidRPr="00FA3279">
              <w:rPr>
                <w:rFonts w:cs="Calibri"/>
              </w:rPr>
              <w:t xml:space="preserve">Exceeding progress </w:t>
            </w:r>
          </w:p>
        </w:tc>
      </w:tr>
      <w:tr w:rsidR="00FA3279" w:rsidRPr="00FA3279" w14:paraId="2C67D028" w14:textId="77777777" w:rsidTr="002D4FFE">
        <w:tc>
          <w:tcPr>
            <w:tcW w:w="3681" w:type="dxa"/>
            <w:shd w:val="clear" w:color="auto" w:fill="D9D9D9"/>
          </w:tcPr>
          <w:p w14:paraId="2DE56690" w14:textId="77777777" w:rsidR="00FA3279" w:rsidRPr="00FA3279" w:rsidRDefault="00FA3279" w:rsidP="002D4FFE">
            <w:pPr>
              <w:pStyle w:val="NoSpacing"/>
              <w:rPr>
                <w:rFonts w:cs="Calibri"/>
              </w:rPr>
            </w:pPr>
            <w:r w:rsidRPr="00FA3279">
              <w:rPr>
                <w:rFonts w:cs="Calibri"/>
              </w:rPr>
              <w:t>Reading</w:t>
            </w:r>
          </w:p>
        </w:tc>
        <w:tc>
          <w:tcPr>
            <w:tcW w:w="2693" w:type="dxa"/>
            <w:shd w:val="clear" w:color="auto" w:fill="auto"/>
          </w:tcPr>
          <w:p w14:paraId="549C807F" w14:textId="77777777" w:rsidR="00FA3279" w:rsidRPr="00FA3279" w:rsidRDefault="00FA3279" w:rsidP="002D4FFE">
            <w:pPr>
              <w:pStyle w:val="NoSpacing"/>
              <w:jc w:val="center"/>
              <w:rPr>
                <w:rFonts w:cs="Calibri"/>
              </w:rPr>
            </w:pPr>
            <w:r w:rsidRPr="00FA3279">
              <w:rPr>
                <w:rFonts w:cs="Calibri"/>
              </w:rPr>
              <w:t xml:space="preserve">24/27   </w:t>
            </w:r>
            <w:r w:rsidRPr="00FA3279">
              <w:rPr>
                <w:rFonts w:cs="Calibri"/>
                <w:b/>
              </w:rPr>
              <w:t>(89%)</w:t>
            </w:r>
          </w:p>
        </w:tc>
        <w:tc>
          <w:tcPr>
            <w:tcW w:w="2642" w:type="dxa"/>
            <w:shd w:val="clear" w:color="auto" w:fill="auto"/>
          </w:tcPr>
          <w:p w14:paraId="12FA6E58" w14:textId="77777777" w:rsidR="00FA3279" w:rsidRPr="00FA3279" w:rsidRDefault="00FA3279" w:rsidP="002D4FFE">
            <w:pPr>
              <w:pStyle w:val="NoSpacing"/>
              <w:jc w:val="center"/>
              <w:rPr>
                <w:rFonts w:cs="Calibri"/>
              </w:rPr>
            </w:pPr>
            <w:r w:rsidRPr="00FA3279">
              <w:rPr>
                <w:rFonts w:cs="Calibri"/>
              </w:rPr>
              <w:t xml:space="preserve">9/27   </w:t>
            </w:r>
            <w:r w:rsidRPr="00FA3279">
              <w:rPr>
                <w:rFonts w:cs="Calibri"/>
                <w:b/>
              </w:rPr>
              <w:t>(33%)</w:t>
            </w:r>
          </w:p>
        </w:tc>
      </w:tr>
      <w:tr w:rsidR="00FA3279" w:rsidRPr="00FA3279" w14:paraId="0AF16104" w14:textId="77777777" w:rsidTr="002D4FFE">
        <w:tc>
          <w:tcPr>
            <w:tcW w:w="3681" w:type="dxa"/>
            <w:shd w:val="clear" w:color="auto" w:fill="D9D9D9"/>
          </w:tcPr>
          <w:p w14:paraId="25A94C20" w14:textId="77777777" w:rsidR="00FA3279" w:rsidRPr="00FA3279" w:rsidRDefault="00FA3279" w:rsidP="002D4FFE">
            <w:pPr>
              <w:pStyle w:val="NoSpacing"/>
              <w:rPr>
                <w:rFonts w:cs="Calibri"/>
              </w:rPr>
            </w:pPr>
            <w:r w:rsidRPr="00FA3279">
              <w:rPr>
                <w:rFonts w:cs="Calibri"/>
              </w:rPr>
              <w:t>Writing</w:t>
            </w:r>
          </w:p>
        </w:tc>
        <w:tc>
          <w:tcPr>
            <w:tcW w:w="2693" w:type="dxa"/>
            <w:shd w:val="clear" w:color="auto" w:fill="auto"/>
          </w:tcPr>
          <w:p w14:paraId="6ADA26F0" w14:textId="77777777" w:rsidR="00FA3279" w:rsidRPr="00FA3279" w:rsidRDefault="00FA3279" w:rsidP="002D4FFE">
            <w:pPr>
              <w:pStyle w:val="NoSpacing"/>
              <w:jc w:val="center"/>
              <w:rPr>
                <w:rFonts w:cs="Calibri"/>
              </w:rPr>
            </w:pPr>
            <w:r w:rsidRPr="00FA3279">
              <w:rPr>
                <w:rFonts w:cs="Calibri"/>
              </w:rPr>
              <w:t xml:space="preserve">26/27   </w:t>
            </w:r>
            <w:r w:rsidRPr="00FA3279">
              <w:rPr>
                <w:rFonts w:cs="Calibri"/>
                <w:b/>
              </w:rPr>
              <w:t>(96%)</w:t>
            </w:r>
          </w:p>
        </w:tc>
        <w:tc>
          <w:tcPr>
            <w:tcW w:w="2642" w:type="dxa"/>
            <w:shd w:val="clear" w:color="auto" w:fill="auto"/>
          </w:tcPr>
          <w:p w14:paraId="4E14B1AF" w14:textId="77777777" w:rsidR="00FA3279" w:rsidRPr="00FA3279" w:rsidRDefault="00FA3279" w:rsidP="002D4FFE">
            <w:pPr>
              <w:pStyle w:val="NoSpacing"/>
              <w:jc w:val="center"/>
              <w:rPr>
                <w:rFonts w:cs="Calibri"/>
              </w:rPr>
            </w:pPr>
            <w:r w:rsidRPr="00FA3279">
              <w:rPr>
                <w:rFonts w:cs="Calibri"/>
              </w:rPr>
              <w:t xml:space="preserve">6/27   </w:t>
            </w:r>
            <w:r w:rsidRPr="00FA3279">
              <w:rPr>
                <w:rFonts w:cs="Calibri"/>
                <w:b/>
              </w:rPr>
              <w:t>(22%)</w:t>
            </w:r>
          </w:p>
        </w:tc>
      </w:tr>
      <w:tr w:rsidR="00FA3279" w:rsidRPr="00FA3279" w14:paraId="14756631" w14:textId="77777777" w:rsidTr="002D4FFE">
        <w:tc>
          <w:tcPr>
            <w:tcW w:w="3681" w:type="dxa"/>
            <w:shd w:val="clear" w:color="auto" w:fill="D9D9D9"/>
          </w:tcPr>
          <w:p w14:paraId="69239325" w14:textId="77777777" w:rsidR="00FA3279" w:rsidRPr="00FA3279" w:rsidRDefault="00FA3279" w:rsidP="002D4FFE">
            <w:pPr>
              <w:pStyle w:val="NoSpacing"/>
              <w:rPr>
                <w:rFonts w:cs="Calibri"/>
              </w:rPr>
            </w:pPr>
            <w:r w:rsidRPr="00FA3279">
              <w:rPr>
                <w:rFonts w:cs="Calibri"/>
              </w:rPr>
              <w:t>Maths</w:t>
            </w:r>
          </w:p>
        </w:tc>
        <w:tc>
          <w:tcPr>
            <w:tcW w:w="2693" w:type="dxa"/>
            <w:shd w:val="clear" w:color="auto" w:fill="auto"/>
          </w:tcPr>
          <w:p w14:paraId="14D0D13B" w14:textId="77777777" w:rsidR="00FA3279" w:rsidRPr="00FA3279" w:rsidRDefault="00FA3279" w:rsidP="002D4FFE">
            <w:pPr>
              <w:pStyle w:val="NoSpacing"/>
              <w:jc w:val="center"/>
              <w:rPr>
                <w:rFonts w:cs="Calibri"/>
              </w:rPr>
            </w:pPr>
            <w:r w:rsidRPr="00FA3279">
              <w:rPr>
                <w:rFonts w:cs="Calibri"/>
              </w:rPr>
              <w:t xml:space="preserve">25/27   </w:t>
            </w:r>
            <w:r w:rsidRPr="00FA3279">
              <w:rPr>
                <w:rFonts w:cs="Calibri"/>
                <w:b/>
              </w:rPr>
              <w:t>(93%)</w:t>
            </w:r>
          </w:p>
        </w:tc>
        <w:tc>
          <w:tcPr>
            <w:tcW w:w="2642" w:type="dxa"/>
            <w:shd w:val="clear" w:color="auto" w:fill="auto"/>
          </w:tcPr>
          <w:p w14:paraId="29F76F4B" w14:textId="77777777" w:rsidR="00FA3279" w:rsidRPr="00FA3279" w:rsidRDefault="00FA3279" w:rsidP="002D4FFE">
            <w:pPr>
              <w:pStyle w:val="NoSpacing"/>
              <w:jc w:val="center"/>
              <w:rPr>
                <w:rFonts w:cs="Calibri"/>
              </w:rPr>
            </w:pPr>
            <w:r w:rsidRPr="00FA3279">
              <w:rPr>
                <w:rFonts w:cs="Calibri"/>
              </w:rPr>
              <w:t xml:space="preserve">6/27   </w:t>
            </w:r>
            <w:r w:rsidRPr="00FA3279">
              <w:rPr>
                <w:rFonts w:cs="Calibri"/>
                <w:b/>
              </w:rPr>
              <w:t>(22%)</w:t>
            </w:r>
          </w:p>
        </w:tc>
      </w:tr>
    </w:tbl>
    <w:p w14:paraId="76DE2663" w14:textId="77777777" w:rsidR="00FA3279" w:rsidRPr="00FA3279" w:rsidRDefault="00FA3279" w:rsidP="00FA3279">
      <w:pPr>
        <w:pStyle w:val="NoSpacing"/>
        <w:rPr>
          <w:rFonts w:cs="Calibri"/>
        </w:rPr>
      </w:pPr>
    </w:p>
    <w:p w14:paraId="437393D5" w14:textId="77777777" w:rsidR="00FA3279" w:rsidRPr="00FA3279" w:rsidRDefault="00FA3279" w:rsidP="00FA3279">
      <w:pPr>
        <w:pStyle w:val="NoSpacing"/>
        <w:rPr>
          <w:rFonts w:cs="Calibri"/>
        </w:rPr>
      </w:pPr>
      <w:r w:rsidRPr="00FA3279">
        <w:rPr>
          <w:rFonts w:cs="Calibri"/>
        </w:rPr>
        <w:t>Comparing the Reception and Year 2 data for this cohort, the percentage of children working at age rela</w:t>
      </w:r>
      <w:r w:rsidRPr="00FA3279">
        <w:rPr>
          <w:rFonts w:cs="Calibri"/>
        </w:rPr>
        <w:t>t</w:t>
      </w:r>
      <w:r w:rsidRPr="00FA3279">
        <w:rPr>
          <w:rFonts w:cs="Calibri"/>
        </w:rPr>
        <w:t>ed expectation increased from Reception to Year 2 in both reading (up 7%) and writing (up 7%). The nu</w:t>
      </w:r>
      <w:r w:rsidRPr="00FA3279">
        <w:rPr>
          <w:rFonts w:cs="Calibri"/>
        </w:rPr>
        <w:t>m</w:t>
      </w:r>
      <w:r w:rsidRPr="00FA3279">
        <w:rPr>
          <w:rFonts w:cs="Calibri"/>
        </w:rPr>
        <w:t xml:space="preserve">ber of children working at age related expectation in maths remained consistent between Reception and Year 2, with 70% of children achieving this. </w:t>
      </w:r>
    </w:p>
    <w:p w14:paraId="43FB3390" w14:textId="77777777" w:rsidR="00FA3279" w:rsidRPr="00FA3279" w:rsidRDefault="00FA3279" w:rsidP="00FA3279">
      <w:pPr>
        <w:pStyle w:val="NoSpacing"/>
        <w:rPr>
          <w:rFonts w:cs="Calibri"/>
          <w:b/>
        </w:rPr>
      </w:pPr>
    </w:p>
    <w:p w14:paraId="16F5E558" w14:textId="77777777" w:rsidR="00FA3279" w:rsidRPr="00FA3279" w:rsidRDefault="00FA3279" w:rsidP="00FA3279">
      <w:pPr>
        <w:pStyle w:val="NoSpacing"/>
        <w:rPr>
          <w:rFonts w:cs="Calibri"/>
        </w:rPr>
      </w:pPr>
      <w:r w:rsidRPr="00FA3279">
        <w:rPr>
          <w:rFonts w:cs="Calibri"/>
        </w:rPr>
        <w:t>There was an increase in the percentage of children working at greater depth in reading, writing or maths. This went up from a very low percentage of children achieving greater depth in Reception, up to 15% in writing and 15% in reading and 19% maths by the time the children were in Year 2.</w:t>
      </w:r>
    </w:p>
    <w:p w14:paraId="726C2620" w14:textId="77777777" w:rsidR="00FA3279" w:rsidRPr="00FA3279" w:rsidRDefault="00FA3279" w:rsidP="00FA3279">
      <w:pPr>
        <w:pStyle w:val="NoSpacing"/>
        <w:rPr>
          <w:rFonts w:cs="Calibri"/>
        </w:rPr>
      </w:pPr>
    </w:p>
    <w:p w14:paraId="7585ACC6" w14:textId="3E40FA02" w:rsidR="00FA3279" w:rsidRPr="00FA3279" w:rsidRDefault="00FA3279" w:rsidP="00FA3279">
      <w:pPr>
        <w:pStyle w:val="NoSpacing"/>
        <w:rPr>
          <w:rFonts w:cs="Calibri"/>
        </w:rPr>
      </w:pPr>
      <w:r w:rsidRPr="00FA3279">
        <w:rPr>
          <w:rFonts w:cs="Calibri"/>
        </w:rPr>
        <w:t>A number of pupils made exceeding progress between Reception and Year 2 (33% in reading, 22% in wri</w:t>
      </w:r>
      <w:r w:rsidRPr="00FA3279">
        <w:rPr>
          <w:rFonts w:cs="Calibri"/>
        </w:rPr>
        <w:t>t</w:t>
      </w:r>
      <w:r w:rsidRPr="00FA3279">
        <w:rPr>
          <w:rFonts w:cs="Calibri"/>
        </w:rPr>
        <w:t>ing and 22% in maths).</w:t>
      </w:r>
    </w:p>
    <w:p w14:paraId="17752469" w14:textId="77777777" w:rsidR="00FA3279" w:rsidRDefault="00FA3279" w:rsidP="002F7459">
      <w:pPr>
        <w:spacing w:after="0" w:line="240" w:lineRule="auto"/>
        <w:rPr>
          <w:rFonts w:asciiTheme="minorHAnsi" w:hAnsiTheme="minorHAnsi" w:cstheme="minorHAnsi"/>
          <w:sz w:val="22"/>
          <w:szCs w:val="22"/>
        </w:rPr>
      </w:pPr>
    </w:p>
    <w:p w14:paraId="798565C2" w14:textId="77777777" w:rsidR="00F9029D" w:rsidRDefault="00F9029D" w:rsidP="002F7459">
      <w:pPr>
        <w:spacing w:after="0" w:line="240" w:lineRule="auto"/>
        <w:rPr>
          <w:rFonts w:asciiTheme="minorHAnsi" w:hAnsiTheme="minorHAnsi" w:cstheme="minorHAnsi"/>
          <w:sz w:val="22"/>
          <w:szCs w:val="22"/>
        </w:rPr>
      </w:pPr>
    </w:p>
    <w:p w14:paraId="0D9DAD5B" w14:textId="77777777" w:rsidR="00F9029D" w:rsidRDefault="00F9029D" w:rsidP="002F7459">
      <w:pPr>
        <w:spacing w:after="0" w:line="240" w:lineRule="auto"/>
        <w:rPr>
          <w:rFonts w:asciiTheme="minorHAnsi" w:hAnsiTheme="minorHAnsi" w:cstheme="minorHAnsi"/>
          <w:sz w:val="22"/>
          <w:szCs w:val="22"/>
        </w:rPr>
      </w:pPr>
    </w:p>
    <w:p w14:paraId="7510396C" w14:textId="77777777" w:rsidR="00F9029D" w:rsidRDefault="00F9029D" w:rsidP="002F7459">
      <w:pPr>
        <w:spacing w:after="0" w:line="240" w:lineRule="auto"/>
        <w:rPr>
          <w:rFonts w:asciiTheme="minorHAnsi" w:hAnsiTheme="minorHAnsi" w:cstheme="minorHAnsi"/>
          <w:sz w:val="22"/>
          <w:szCs w:val="22"/>
        </w:rPr>
      </w:pPr>
    </w:p>
    <w:p w14:paraId="0A77DB60" w14:textId="77777777" w:rsidR="00F9029D" w:rsidRPr="00FA3279" w:rsidRDefault="00F9029D" w:rsidP="002F7459">
      <w:pPr>
        <w:spacing w:after="0" w:line="240" w:lineRule="auto"/>
        <w:rPr>
          <w:rFonts w:asciiTheme="minorHAnsi" w:hAnsiTheme="minorHAnsi" w:cstheme="minorHAnsi"/>
          <w:sz w:val="22"/>
          <w:szCs w:val="22"/>
        </w:rPr>
      </w:pPr>
    </w:p>
    <w:p w14:paraId="1ACDAB3E" w14:textId="77777777" w:rsidR="00FA3279" w:rsidRPr="00FA3279" w:rsidRDefault="00FA3279" w:rsidP="00FA3279">
      <w:pPr>
        <w:pStyle w:val="NoSpacing"/>
        <w:rPr>
          <w:rFonts w:cs="Calibri"/>
        </w:rPr>
      </w:pPr>
      <w:r w:rsidRPr="00FA3279">
        <w:rPr>
          <w:rFonts w:cs="Calibri"/>
          <w:b/>
          <w:u w:val="single"/>
        </w:rPr>
        <w:lastRenderedPageBreak/>
        <w:t>Year 6 cohort 2020-21</w:t>
      </w:r>
    </w:p>
    <w:p w14:paraId="5F2F3546" w14:textId="77777777" w:rsidR="00FA3279" w:rsidRPr="00FA3279" w:rsidRDefault="00FA3279" w:rsidP="00FA3279">
      <w:pPr>
        <w:pStyle w:val="NoSpacing"/>
        <w:rPr>
          <w:rFonts w:cs="Calibri"/>
        </w:rPr>
      </w:pPr>
    </w:p>
    <w:p w14:paraId="311BB0C6" w14:textId="77777777" w:rsidR="00FA3279" w:rsidRPr="00FA3279" w:rsidRDefault="00FA3279" w:rsidP="00FA3279">
      <w:pPr>
        <w:pStyle w:val="NoSpacing"/>
        <w:rPr>
          <w:rFonts w:cs="Calibri"/>
        </w:rPr>
      </w:pPr>
      <w:r w:rsidRPr="00FA3279">
        <w:rPr>
          <w:rFonts w:cs="Calibri"/>
        </w:rPr>
        <w:t xml:space="preserve">32 pupils (out of 44) in our Year 6 2020-21 </w:t>
      </w:r>
      <w:proofErr w:type="gramStart"/>
      <w:r w:rsidRPr="00FA3279">
        <w:rPr>
          <w:rFonts w:cs="Calibri"/>
        </w:rPr>
        <w:t>cohort</w:t>
      </w:r>
      <w:proofErr w:type="gramEnd"/>
      <w:r w:rsidRPr="00FA3279">
        <w:rPr>
          <w:rFonts w:cs="Calibri"/>
        </w:rPr>
        <w:t xml:space="preserve"> joined Pakeman at the start of Year 2 (or earlier). We have tracked the attainment of these children in their Year 2 and Year 6 SATs. We have also measured their progress between the two stages.</w:t>
      </w:r>
    </w:p>
    <w:p w14:paraId="0E595674" w14:textId="77777777" w:rsidR="00FA3279" w:rsidRPr="00FA3279" w:rsidRDefault="00FA3279" w:rsidP="00FA3279">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FA3279" w:rsidRPr="00FA3279" w14:paraId="32976991" w14:textId="77777777" w:rsidTr="002D4FFE">
        <w:tc>
          <w:tcPr>
            <w:tcW w:w="3681" w:type="dxa"/>
            <w:shd w:val="clear" w:color="auto" w:fill="BDD6EE"/>
          </w:tcPr>
          <w:p w14:paraId="14564E4D" w14:textId="77777777" w:rsidR="00FA3279" w:rsidRPr="00FA3279" w:rsidRDefault="00FA3279" w:rsidP="002D4FFE">
            <w:pPr>
              <w:pStyle w:val="NoSpacing"/>
              <w:rPr>
                <w:rFonts w:cs="Calibri"/>
                <w:b/>
              </w:rPr>
            </w:pPr>
            <w:r w:rsidRPr="00FA3279">
              <w:rPr>
                <w:rFonts w:cs="Calibri"/>
                <w:b/>
              </w:rPr>
              <w:t>Attainment in Year 6 (2020-21)</w:t>
            </w:r>
          </w:p>
          <w:p w14:paraId="4E068F40" w14:textId="77777777" w:rsidR="00FA3279" w:rsidRPr="00FA3279" w:rsidRDefault="00FA3279" w:rsidP="002D4FFE">
            <w:pPr>
              <w:pStyle w:val="NoSpacing"/>
              <w:rPr>
                <w:rFonts w:cs="Calibri"/>
              </w:rPr>
            </w:pPr>
          </w:p>
        </w:tc>
        <w:tc>
          <w:tcPr>
            <w:tcW w:w="2693" w:type="dxa"/>
            <w:shd w:val="clear" w:color="auto" w:fill="BDD6EE"/>
          </w:tcPr>
          <w:p w14:paraId="6CB27BB0" w14:textId="77777777" w:rsidR="00FA3279" w:rsidRPr="00FA3279" w:rsidRDefault="00FA3279" w:rsidP="002D4FFE">
            <w:pPr>
              <w:pStyle w:val="NoSpacing"/>
              <w:jc w:val="center"/>
              <w:rPr>
                <w:rFonts w:cs="Calibri"/>
              </w:rPr>
            </w:pPr>
            <w:r w:rsidRPr="00FA3279">
              <w:rPr>
                <w:rFonts w:cs="Calibri"/>
              </w:rPr>
              <w:t>Working at</w:t>
            </w:r>
          </w:p>
        </w:tc>
        <w:tc>
          <w:tcPr>
            <w:tcW w:w="2642" w:type="dxa"/>
            <w:shd w:val="clear" w:color="auto" w:fill="BDD6EE"/>
          </w:tcPr>
          <w:p w14:paraId="16400F4B" w14:textId="77777777" w:rsidR="00FA3279" w:rsidRPr="00FA3279" w:rsidRDefault="00FA3279" w:rsidP="002D4FFE">
            <w:pPr>
              <w:pStyle w:val="NoSpacing"/>
              <w:jc w:val="center"/>
              <w:rPr>
                <w:rFonts w:cs="Calibri"/>
              </w:rPr>
            </w:pPr>
            <w:r w:rsidRPr="00FA3279">
              <w:rPr>
                <w:rFonts w:cs="Calibri"/>
              </w:rPr>
              <w:t>Greater depth</w:t>
            </w:r>
          </w:p>
        </w:tc>
      </w:tr>
      <w:tr w:rsidR="00FA3279" w:rsidRPr="00FA3279" w14:paraId="07B0A677" w14:textId="77777777" w:rsidTr="002D4FFE">
        <w:tc>
          <w:tcPr>
            <w:tcW w:w="3681" w:type="dxa"/>
            <w:shd w:val="clear" w:color="auto" w:fill="BDD6EE"/>
          </w:tcPr>
          <w:p w14:paraId="75B9B7CA" w14:textId="77777777" w:rsidR="00FA3279" w:rsidRPr="00FA3279" w:rsidRDefault="00FA3279" w:rsidP="002D4FFE">
            <w:pPr>
              <w:pStyle w:val="NoSpacing"/>
              <w:rPr>
                <w:rFonts w:cs="Calibri"/>
              </w:rPr>
            </w:pPr>
            <w:r w:rsidRPr="00FA3279">
              <w:rPr>
                <w:rFonts w:cs="Calibri"/>
              </w:rPr>
              <w:t>Reading</w:t>
            </w:r>
          </w:p>
        </w:tc>
        <w:tc>
          <w:tcPr>
            <w:tcW w:w="2693" w:type="dxa"/>
            <w:shd w:val="clear" w:color="auto" w:fill="auto"/>
          </w:tcPr>
          <w:p w14:paraId="70CCB199" w14:textId="77777777" w:rsidR="00FA3279" w:rsidRPr="00FA3279" w:rsidRDefault="00FA3279" w:rsidP="002D4FFE">
            <w:pPr>
              <w:pStyle w:val="NoSpacing"/>
              <w:jc w:val="center"/>
              <w:rPr>
                <w:rFonts w:cs="Calibri"/>
              </w:rPr>
            </w:pPr>
            <w:r w:rsidRPr="00FA3279">
              <w:rPr>
                <w:rFonts w:cs="Calibri"/>
              </w:rPr>
              <w:t xml:space="preserve">24/32   </w:t>
            </w:r>
            <w:r w:rsidRPr="00FA3279">
              <w:rPr>
                <w:rFonts w:cs="Calibri"/>
                <w:b/>
              </w:rPr>
              <w:t>(75%)</w:t>
            </w:r>
          </w:p>
        </w:tc>
        <w:tc>
          <w:tcPr>
            <w:tcW w:w="2642" w:type="dxa"/>
            <w:shd w:val="clear" w:color="auto" w:fill="auto"/>
          </w:tcPr>
          <w:p w14:paraId="77C6261A" w14:textId="77777777" w:rsidR="00FA3279" w:rsidRPr="00FA3279" w:rsidRDefault="00FA3279" w:rsidP="002D4FFE">
            <w:pPr>
              <w:pStyle w:val="NoSpacing"/>
              <w:jc w:val="center"/>
              <w:rPr>
                <w:rFonts w:cs="Calibri"/>
              </w:rPr>
            </w:pPr>
            <w:r w:rsidRPr="00FA3279">
              <w:rPr>
                <w:rFonts w:cs="Calibri"/>
              </w:rPr>
              <w:t xml:space="preserve">8/32   </w:t>
            </w:r>
            <w:r w:rsidRPr="00FA3279">
              <w:rPr>
                <w:rFonts w:cs="Calibri"/>
                <w:b/>
              </w:rPr>
              <w:t>(25%)</w:t>
            </w:r>
          </w:p>
        </w:tc>
      </w:tr>
      <w:tr w:rsidR="00FA3279" w:rsidRPr="00FA3279" w14:paraId="4C57027B" w14:textId="77777777" w:rsidTr="002D4FFE">
        <w:tc>
          <w:tcPr>
            <w:tcW w:w="3681" w:type="dxa"/>
            <w:shd w:val="clear" w:color="auto" w:fill="BDD6EE"/>
          </w:tcPr>
          <w:p w14:paraId="1EEECFD1" w14:textId="77777777" w:rsidR="00FA3279" w:rsidRPr="00FA3279" w:rsidRDefault="00FA3279" w:rsidP="002D4FFE">
            <w:pPr>
              <w:pStyle w:val="NoSpacing"/>
              <w:rPr>
                <w:rFonts w:cs="Calibri"/>
              </w:rPr>
            </w:pPr>
            <w:r w:rsidRPr="00FA3279">
              <w:rPr>
                <w:rFonts w:cs="Calibri"/>
              </w:rPr>
              <w:t>Writing</w:t>
            </w:r>
          </w:p>
        </w:tc>
        <w:tc>
          <w:tcPr>
            <w:tcW w:w="2693" w:type="dxa"/>
            <w:shd w:val="clear" w:color="auto" w:fill="auto"/>
          </w:tcPr>
          <w:p w14:paraId="4AA73B53" w14:textId="77777777" w:rsidR="00FA3279" w:rsidRPr="00FA3279" w:rsidRDefault="00FA3279" w:rsidP="002D4FFE">
            <w:pPr>
              <w:pStyle w:val="NoSpacing"/>
              <w:jc w:val="center"/>
              <w:rPr>
                <w:rFonts w:cs="Calibri"/>
              </w:rPr>
            </w:pPr>
            <w:r w:rsidRPr="00FA3279">
              <w:rPr>
                <w:rFonts w:cs="Calibri"/>
              </w:rPr>
              <w:t xml:space="preserve">25/32   </w:t>
            </w:r>
            <w:r w:rsidRPr="00FA3279">
              <w:rPr>
                <w:rFonts w:cs="Calibri"/>
                <w:b/>
              </w:rPr>
              <w:t>(78%)</w:t>
            </w:r>
          </w:p>
        </w:tc>
        <w:tc>
          <w:tcPr>
            <w:tcW w:w="2642" w:type="dxa"/>
            <w:shd w:val="clear" w:color="auto" w:fill="auto"/>
          </w:tcPr>
          <w:p w14:paraId="0C9BB40D" w14:textId="77777777" w:rsidR="00FA3279" w:rsidRPr="00FA3279" w:rsidRDefault="00FA3279" w:rsidP="002D4FFE">
            <w:pPr>
              <w:pStyle w:val="NoSpacing"/>
              <w:jc w:val="center"/>
              <w:rPr>
                <w:rFonts w:cs="Calibri"/>
              </w:rPr>
            </w:pPr>
            <w:r w:rsidRPr="00FA3279">
              <w:rPr>
                <w:rFonts w:cs="Calibri"/>
              </w:rPr>
              <w:t xml:space="preserve">7/32   </w:t>
            </w:r>
            <w:r w:rsidRPr="00FA3279">
              <w:rPr>
                <w:rFonts w:cs="Calibri"/>
                <w:b/>
              </w:rPr>
              <w:t>(22%)</w:t>
            </w:r>
          </w:p>
        </w:tc>
      </w:tr>
      <w:tr w:rsidR="00FA3279" w:rsidRPr="00FA3279" w14:paraId="75A78053" w14:textId="77777777" w:rsidTr="002D4FFE">
        <w:tc>
          <w:tcPr>
            <w:tcW w:w="3681" w:type="dxa"/>
            <w:shd w:val="clear" w:color="auto" w:fill="BDD6EE"/>
          </w:tcPr>
          <w:p w14:paraId="41070585" w14:textId="77777777" w:rsidR="00FA3279" w:rsidRPr="00FA3279" w:rsidRDefault="00FA3279" w:rsidP="002D4FFE">
            <w:pPr>
              <w:pStyle w:val="NoSpacing"/>
              <w:rPr>
                <w:rFonts w:cs="Calibri"/>
              </w:rPr>
            </w:pPr>
            <w:r w:rsidRPr="00FA3279">
              <w:rPr>
                <w:rFonts w:cs="Calibri"/>
              </w:rPr>
              <w:t>Maths</w:t>
            </w:r>
          </w:p>
        </w:tc>
        <w:tc>
          <w:tcPr>
            <w:tcW w:w="2693" w:type="dxa"/>
            <w:shd w:val="clear" w:color="auto" w:fill="auto"/>
          </w:tcPr>
          <w:p w14:paraId="456B9B2E" w14:textId="77777777" w:rsidR="00FA3279" w:rsidRPr="00FA3279" w:rsidRDefault="00FA3279" w:rsidP="002D4FFE">
            <w:pPr>
              <w:pStyle w:val="NoSpacing"/>
              <w:jc w:val="center"/>
              <w:rPr>
                <w:rFonts w:cs="Calibri"/>
              </w:rPr>
            </w:pPr>
            <w:r w:rsidRPr="00FA3279">
              <w:rPr>
                <w:rFonts w:cs="Calibri"/>
              </w:rPr>
              <w:t xml:space="preserve">20/32   </w:t>
            </w:r>
            <w:r w:rsidRPr="00FA3279">
              <w:rPr>
                <w:rFonts w:cs="Calibri"/>
                <w:b/>
              </w:rPr>
              <w:t>(63%)</w:t>
            </w:r>
          </w:p>
        </w:tc>
        <w:tc>
          <w:tcPr>
            <w:tcW w:w="2642" w:type="dxa"/>
            <w:shd w:val="clear" w:color="auto" w:fill="auto"/>
          </w:tcPr>
          <w:p w14:paraId="4C2D01B6" w14:textId="77777777" w:rsidR="00FA3279" w:rsidRPr="00FA3279" w:rsidRDefault="00FA3279" w:rsidP="002D4FFE">
            <w:pPr>
              <w:pStyle w:val="NoSpacing"/>
              <w:jc w:val="center"/>
              <w:rPr>
                <w:rFonts w:cs="Calibri"/>
              </w:rPr>
            </w:pPr>
            <w:r w:rsidRPr="00FA3279">
              <w:rPr>
                <w:rFonts w:cs="Calibri"/>
              </w:rPr>
              <w:t xml:space="preserve">8/32   </w:t>
            </w:r>
            <w:r w:rsidRPr="00FA3279">
              <w:rPr>
                <w:rFonts w:cs="Calibri"/>
                <w:b/>
              </w:rPr>
              <w:t>(25%)</w:t>
            </w:r>
          </w:p>
        </w:tc>
      </w:tr>
    </w:tbl>
    <w:p w14:paraId="35F2EEDB" w14:textId="77777777" w:rsidR="00FA3279" w:rsidRPr="00FA3279" w:rsidRDefault="00FA3279" w:rsidP="00FA3279">
      <w:pPr>
        <w:pStyle w:val="NoSpacing"/>
        <w:rPr>
          <w:rFonts w:cs="Calibri"/>
          <w:b/>
        </w:rPr>
      </w:pPr>
    </w:p>
    <w:p w14:paraId="43C22764" w14:textId="77777777" w:rsidR="00FA3279" w:rsidRPr="00FA3279" w:rsidRDefault="00FA3279" w:rsidP="00FA3279">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FA3279" w:rsidRPr="00FA3279" w14:paraId="61E4B0F3" w14:textId="77777777" w:rsidTr="002D4FFE">
        <w:tc>
          <w:tcPr>
            <w:tcW w:w="3681" w:type="dxa"/>
            <w:shd w:val="clear" w:color="auto" w:fill="C5E0B3"/>
          </w:tcPr>
          <w:p w14:paraId="0A6E0D62" w14:textId="77777777" w:rsidR="00FA3279" w:rsidRPr="00FA3279" w:rsidRDefault="00FA3279" w:rsidP="002D4FFE">
            <w:pPr>
              <w:pStyle w:val="NoSpacing"/>
              <w:rPr>
                <w:rFonts w:cs="Calibri"/>
                <w:b/>
              </w:rPr>
            </w:pPr>
            <w:r w:rsidRPr="00FA3279">
              <w:rPr>
                <w:rFonts w:cs="Calibri"/>
                <w:b/>
              </w:rPr>
              <w:t>Attainment in Year 2 (2016-17)</w:t>
            </w:r>
          </w:p>
          <w:p w14:paraId="3B042B37" w14:textId="77777777" w:rsidR="00FA3279" w:rsidRPr="00FA3279" w:rsidRDefault="00FA3279" w:rsidP="002D4FFE">
            <w:pPr>
              <w:pStyle w:val="NoSpacing"/>
              <w:rPr>
                <w:rFonts w:cs="Calibri"/>
              </w:rPr>
            </w:pPr>
          </w:p>
        </w:tc>
        <w:tc>
          <w:tcPr>
            <w:tcW w:w="2693" w:type="dxa"/>
            <w:shd w:val="clear" w:color="auto" w:fill="C5E0B3"/>
          </w:tcPr>
          <w:p w14:paraId="29FAA2D1" w14:textId="77777777" w:rsidR="00FA3279" w:rsidRPr="00FA3279" w:rsidRDefault="00FA3279" w:rsidP="002D4FFE">
            <w:pPr>
              <w:pStyle w:val="NoSpacing"/>
              <w:jc w:val="center"/>
              <w:rPr>
                <w:rFonts w:cs="Calibri"/>
              </w:rPr>
            </w:pPr>
            <w:r w:rsidRPr="00FA3279">
              <w:rPr>
                <w:rFonts w:cs="Calibri"/>
              </w:rPr>
              <w:t>Working at</w:t>
            </w:r>
          </w:p>
        </w:tc>
        <w:tc>
          <w:tcPr>
            <w:tcW w:w="2642" w:type="dxa"/>
            <w:shd w:val="clear" w:color="auto" w:fill="C5E0B3"/>
          </w:tcPr>
          <w:p w14:paraId="0F44EA7F" w14:textId="77777777" w:rsidR="00FA3279" w:rsidRPr="00FA3279" w:rsidRDefault="00FA3279" w:rsidP="002D4FFE">
            <w:pPr>
              <w:pStyle w:val="NoSpacing"/>
              <w:jc w:val="center"/>
              <w:rPr>
                <w:rFonts w:cs="Calibri"/>
              </w:rPr>
            </w:pPr>
            <w:r w:rsidRPr="00FA3279">
              <w:rPr>
                <w:rFonts w:cs="Calibri"/>
              </w:rPr>
              <w:t>Greater depth</w:t>
            </w:r>
          </w:p>
        </w:tc>
      </w:tr>
      <w:tr w:rsidR="00FA3279" w:rsidRPr="00FA3279" w14:paraId="6E4F1983" w14:textId="77777777" w:rsidTr="002D4FFE">
        <w:tc>
          <w:tcPr>
            <w:tcW w:w="3681" w:type="dxa"/>
            <w:shd w:val="clear" w:color="auto" w:fill="C5E0B3"/>
          </w:tcPr>
          <w:p w14:paraId="1D653791" w14:textId="77777777" w:rsidR="00FA3279" w:rsidRPr="00FA3279" w:rsidRDefault="00FA3279" w:rsidP="002D4FFE">
            <w:pPr>
              <w:pStyle w:val="NoSpacing"/>
              <w:rPr>
                <w:rFonts w:cs="Calibri"/>
              </w:rPr>
            </w:pPr>
            <w:r w:rsidRPr="00FA3279">
              <w:rPr>
                <w:rFonts w:cs="Calibri"/>
              </w:rPr>
              <w:t>Reading</w:t>
            </w:r>
          </w:p>
        </w:tc>
        <w:tc>
          <w:tcPr>
            <w:tcW w:w="2693" w:type="dxa"/>
            <w:shd w:val="clear" w:color="auto" w:fill="auto"/>
          </w:tcPr>
          <w:p w14:paraId="4F116E9F" w14:textId="77777777" w:rsidR="00FA3279" w:rsidRPr="00FA3279" w:rsidRDefault="00FA3279" w:rsidP="002D4FFE">
            <w:pPr>
              <w:pStyle w:val="NoSpacing"/>
              <w:jc w:val="center"/>
              <w:rPr>
                <w:rFonts w:cs="Calibri"/>
              </w:rPr>
            </w:pPr>
            <w:r w:rsidRPr="00FA3279">
              <w:rPr>
                <w:rFonts w:cs="Calibri"/>
              </w:rPr>
              <w:t xml:space="preserve">22/32   </w:t>
            </w:r>
            <w:r w:rsidRPr="00FA3279">
              <w:rPr>
                <w:rFonts w:cs="Calibri"/>
                <w:b/>
              </w:rPr>
              <w:t>(69%)</w:t>
            </w:r>
          </w:p>
        </w:tc>
        <w:tc>
          <w:tcPr>
            <w:tcW w:w="2642" w:type="dxa"/>
            <w:shd w:val="clear" w:color="auto" w:fill="auto"/>
          </w:tcPr>
          <w:p w14:paraId="6ACDA566" w14:textId="77777777" w:rsidR="00FA3279" w:rsidRPr="00FA3279" w:rsidRDefault="00FA3279" w:rsidP="002D4FFE">
            <w:pPr>
              <w:pStyle w:val="NoSpacing"/>
              <w:jc w:val="center"/>
              <w:rPr>
                <w:rFonts w:cs="Calibri"/>
              </w:rPr>
            </w:pPr>
            <w:r w:rsidRPr="00FA3279">
              <w:rPr>
                <w:rFonts w:cs="Calibri"/>
              </w:rPr>
              <w:t xml:space="preserve">3/32   </w:t>
            </w:r>
            <w:r w:rsidRPr="00FA3279">
              <w:rPr>
                <w:rFonts w:cs="Calibri"/>
                <w:b/>
              </w:rPr>
              <w:t>(9%)</w:t>
            </w:r>
          </w:p>
        </w:tc>
      </w:tr>
      <w:tr w:rsidR="00FA3279" w:rsidRPr="00FA3279" w14:paraId="4D05B292" w14:textId="77777777" w:rsidTr="002D4FFE">
        <w:tc>
          <w:tcPr>
            <w:tcW w:w="3681" w:type="dxa"/>
            <w:shd w:val="clear" w:color="auto" w:fill="C5E0B3"/>
          </w:tcPr>
          <w:p w14:paraId="6B92A050" w14:textId="77777777" w:rsidR="00FA3279" w:rsidRPr="00FA3279" w:rsidRDefault="00FA3279" w:rsidP="002D4FFE">
            <w:pPr>
              <w:pStyle w:val="NoSpacing"/>
              <w:rPr>
                <w:rFonts w:cs="Calibri"/>
              </w:rPr>
            </w:pPr>
            <w:r w:rsidRPr="00FA3279">
              <w:rPr>
                <w:rFonts w:cs="Calibri"/>
              </w:rPr>
              <w:t>Writing</w:t>
            </w:r>
          </w:p>
        </w:tc>
        <w:tc>
          <w:tcPr>
            <w:tcW w:w="2693" w:type="dxa"/>
            <w:shd w:val="clear" w:color="auto" w:fill="auto"/>
          </w:tcPr>
          <w:p w14:paraId="731D024A" w14:textId="77777777" w:rsidR="00FA3279" w:rsidRPr="00FA3279" w:rsidRDefault="00FA3279" w:rsidP="002D4FFE">
            <w:pPr>
              <w:pStyle w:val="NoSpacing"/>
              <w:jc w:val="center"/>
              <w:rPr>
                <w:rFonts w:cs="Calibri"/>
              </w:rPr>
            </w:pPr>
            <w:r w:rsidRPr="00FA3279">
              <w:rPr>
                <w:rFonts w:cs="Calibri"/>
              </w:rPr>
              <w:t xml:space="preserve">22/32   </w:t>
            </w:r>
            <w:r w:rsidRPr="00FA3279">
              <w:rPr>
                <w:rFonts w:cs="Calibri"/>
                <w:b/>
              </w:rPr>
              <w:t>(69%)</w:t>
            </w:r>
          </w:p>
        </w:tc>
        <w:tc>
          <w:tcPr>
            <w:tcW w:w="2642" w:type="dxa"/>
            <w:shd w:val="clear" w:color="auto" w:fill="auto"/>
          </w:tcPr>
          <w:p w14:paraId="3AEDBA02" w14:textId="77777777" w:rsidR="00FA3279" w:rsidRPr="00FA3279" w:rsidRDefault="00FA3279" w:rsidP="002D4FFE">
            <w:pPr>
              <w:pStyle w:val="NoSpacing"/>
              <w:jc w:val="center"/>
              <w:rPr>
                <w:rFonts w:cs="Calibri"/>
              </w:rPr>
            </w:pPr>
            <w:r w:rsidRPr="00FA3279">
              <w:rPr>
                <w:rFonts w:cs="Calibri"/>
              </w:rPr>
              <w:t xml:space="preserve">1/32   </w:t>
            </w:r>
            <w:r w:rsidRPr="00FA3279">
              <w:rPr>
                <w:rFonts w:cs="Calibri"/>
                <w:b/>
              </w:rPr>
              <w:t>(3%)</w:t>
            </w:r>
          </w:p>
        </w:tc>
      </w:tr>
      <w:tr w:rsidR="00FA3279" w:rsidRPr="00FA3279" w14:paraId="2FA1E66E" w14:textId="77777777" w:rsidTr="002D4FFE">
        <w:tc>
          <w:tcPr>
            <w:tcW w:w="3681" w:type="dxa"/>
            <w:shd w:val="clear" w:color="auto" w:fill="C5E0B3"/>
          </w:tcPr>
          <w:p w14:paraId="6EA06EB1" w14:textId="77777777" w:rsidR="00FA3279" w:rsidRPr="00FA3279" w:rsidRDefault="00FA3279" w:rsidP="002D4FFE">
            <w:pPr>
              <w:pStyle w:val="NoSpacing"/>
              <w:rPr>
                <w:rFonts w:cs="Calibri"/>
              </w:rPr>
            </w:pPr>
            <w:r w:rsidRPr="00FA3279">
              <w:rPr>
                <w:rFonts w:cs="Calibri"/>
              </w:rPr>
              <w:t>Maths</w:t>
            </w:r>
          </w:p>
        </w:tc>
        <w:tc>
          <w:tcPr>
            <w:tcW w:w="2693" w:type="dxa"/>
            <w:shd w:val="clear" w:color="auto" w:fill="auto"/>
          </w:tcPr>
          <w:p w14:paraId="1BC36C79" w14:textId="77777777" w:rsidR="00FA3279" w:rsidRPr="00FA3279" w:rsidRDefault="00FA3279" w:rsidP="002D4FFE">
            <w:pPr>
              <w:pStyle w:val="NoSpacing"/>
              <w:jc w:val="center"/>
              <w:rPr>
                <w:rFonts w:cs="Calibri"/>
              </w:rPr>
            </w:pPr>
            <w:r w:rsidRPr="00FA3279">
              <w:rPr>
                <w:rFonts w:cs="Calibri"/>
              </w:rPr>
              <w:t xml:space="preserve">21/32   </w:t>
            </w:r>
            <w:r w:rsidRPr="00FA3279">
              <w:rPr>
                <w:rFonts w:cs="Calibri"/>
                <w:b/>
              </w:rPr>
              <w:t>(66%)</w:t>
            </w:r>
          </w:p>
        </w:tc>
        <w:tc>
          <w:tcPr>
            <w:tcW w:w="2642" w:type="dxa"/>
            <w:shd w:val="clear" w:color="auto" w:fill="auto"/>
          </w:tcPr>
          <w:p w14:paraId="33250E49" w14:textId="77777777" w:rsidR="00FA3279" w:rsidRPr="00FA3279" w:rsidRDefault="00FA3279" w:rsidP="002D4FFE">
            <w:pPr>
              <w:pStyle w:val="NoSpacing"/>
              <w:jc w:val="center"/>
              <w:rPr>
                <w:rFonts w:cs="Calibri"/>
              </w:rPr>
            </w:pPr>
            <w:r w:rsidRPr="00FA3279">
              <w:rPr>
                <w:rFonts w:cs="Calibri"/>
              </w:rPr>
              <w:t xml:space="preserve">3/32   </w:t>
            </w:r>
            <w:r w:rsidRPr="00FA3279">
              <w:rPr>
                <w:rFonts w:cs="Calibri"/>
                <w:b/>
              </w:rPr>
              <w:t>(9%)</w:t>
            </w:r>
          </w:p>
        </w:tc>
      </w:tr>
    </w:tbl>
    <w:p w14:paraId="7111D09E" w14:textId="77777777" w:rsidR="00FA3279" w:rsidRPr="00FA3279" w:rsidRDefault="00FA3279" w:rsidP="00FA3279">
      <w:pPr>
        <w:pStyle w:val="NoSpacing"/>
        <w:rPr>
          <w:rFonts w:cs="Calibri"/>
          <w:b/>
        </w:rPr>
      </w:pPr>
    </w:p>
    <w:p w14:paraId="537D2240" w14:textId="77777777" w:rsidR="00FA3279" w:rsidRPr="00FA3279" w:rsidRDefault="00FA3279" w:rsidP="00FA3279">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FA3279" w:rsidRPr="00FA3279" w14:paraId="711DD6D5" w14:textId="77777777" w:rsidTr="002D4FFE">
        <w:tc>
          <w:tcPr>
            <w:tcW w:w="3681" w:type="dxa"/>
            <w:shd w:val="clear" w:color="auto" w:fill="D9D9D9"/>
          </w:tcPr>
          <w:p w14:paraId="0297DDFA" w14:textId="77777777" w:rsidR="00FA3279" w:rsidRPr="00FA3279" w:rsidRDefault="00FA3279" w:rsidP="002D4FFE">
            <w:pPr>
              <w:pStyle w:val="NoSpacing"/>
              <w:rPr>
                <w:rFonts w:cs="Calibri"/>
                <w:b/>
              </w:rPr>
            </w:pPr>
            <w:r w:rsidRPr="00FA3279">
              <w:rPr>
                <w:rFonts w:cs="Calibri"/>
                <w:b/>
              </w:rPr>
              <w:t>Progress from Year 2 (2016-17)</w:t>
            </w:r>
          </w:p>
          <w:p w14:paraId="172B6271" w14:textId="77777777" w:rsidR="00FA3279" w:rsidRPr="00FA3279" w:rsidRDefault="00FA3279" w:rsidP="002D4FFE">
            <w:pPr>
              <w:pStyle w:val="NoSpacing"/>
              <w:rPr>
                <w:rFonts w:cs="Calibri"/>
                <w:b/>
              </w:rPr>
            </w:pPr>
            <w:r w:rsidRPr="00FA3279">
              <w:rPr>
                <w:rFonts w:cs="Calibri"/>
                <w:b/>
              </w:rPr>
              <w:t>to Year 6 (2020-21)</w:t>
            </w:r>
          </w:p>
        </w:tc>
        <w:tc>
          <w:tcPr>
            <w:tcW w:w="2693" w:type="dxa"/>
            <w:shd w:val="clear" w:color="auto" w:fill="D9D9D9"/>
          </w:tcPr>
          <w:p w14:paraId="766C3961" w14:textId="77777777" w:rsidR="00FA3279" w:rsidRPr="00FA3279" w:rsidRDefault="00FA3279" w:rsidP="002D4FFE">
            <w:pPr>
              <w:pStyle w:val="NoSpacing"/>
              <w:jc w:val="center"/>
              <w:rPr>
                <w:rFonts w:cs="Calibri"/>
              </w:rPr>
            </w:pPr>
            <w:r w:rsidRPr="00FA3279">
              <w:rPr>
                <w:rFonts w:cs="Calibri"/>
              </w:rPr>
              <w:t xml:space="preserve">Good or better progress </w:t>
            </w:r>
          </w:p>
        </w:tc>
        <w:tc>
          <w:tcPr>
            <w:tcW w:w="2642" w:type="dxa"/>
            <w:shd w:val="clear" w:color="auto" w:fill="D9D9D9"/>
          </w:tcPr>
          <w:p w14:paraId="30E23527" w14:textId="77777777" w:rsidR="00FA3279" w:rsidRPr="00FA3279" w:rsidRDefault="00FA3279" w:rsidP="002D4FFE">
            <w:pPr>
              <w:pStyle w:val="NoSpacing"/>
              <w:jc w:val="center"/>
              <w:rPr>
                <w:rFonts w:cs="Calibri"/>
              </w:rPr>
            </w:pPr>
            <w:r w:rsidRPr="00FA3279">
              <w:rPr>
                <w:rFonts w:cs="Calibri"/>
              </w:rPr>
              <w:t xml:space="preserve">Exceeding progress </w:t>
            </w:r>
          </w:p>
        </w:tc>
      </w:tr>
      <w:tr w:rsidR="00FA3279" w:rsidRPr="00FA3279" w14:paraId="381E025F" w14:textId="77777777" w:rsidTr="002D4FFE">
        <w:tc>
          <w:tcPr>
            <w:tcW w:w="3681" w:type="dxa"/>
            <w:shd w:val="clear" w:color="auto" w:fill="D9D9D9"/>
          </w:tcPr>
          <w:p w14:paraId="20C79607" w14:textId="77777777" w:rsidR="00FA3279" w:rsidRPr="00FA3279" w:rsidRDefault="00FA3279" w:rsidP="002D4FFE">
            <w:pPr>
              <w:pStyle w:val="NoSpacing"/>
              <w:rPr>
                <w:rFonts w:cs="Calibri"/>
              </w:rPr>
            </w:pPr>
            <w:r w:rsidRPr="00FA3279">
              <w:rPr>
                <w:rFonts w:cs="Calibri"/>
              </w:rPr>
              <w:t>Reading</w:t>
            </w:r>
          </w:p>
        </w:tc>
        <w:tc>
          <w:tcPr>
            <w:tcW w:w="2693" w:type="dxa"/>
            <w:shd w:val="clear" w:color="auto" w:fill="auto"/>
          </w:tcPr>
          <w:p w14:paraId="23D34CB5" w14:textId="77777777" w:rsidR="00FA3279" w:rsidRPr="00FA3279" w:rsidRDefault="00FA3279" w:rsidP="002D4FFE">
            <w:pPr>
              <w:pStyle w:val="NoSpacing"/>
              <w:jc w:val="center"/>
              <w:rPr>
                <w:rFonts w:cs="Calibri"/>
              </w:rPr>
            </w:pPr>
            <w:r w:rsidRPr="00FA3279">
              <w:rPr>
                <w:rFonts w:cs="Calibri"/>
              </w:rPr>
              <w:t xml:space="preserve">32/32   </w:t>
            </w:r>
            <w:r w:rsidRPr="00FA3279">
              <w:rPr>
                <w:rFonts w:cs="Calibri"/>
                <w:b/>
              </w:rPr>
              <w:t>(100%)</w:t>
            </w:r>
          </w:p>
        </w:tc>
        <w:tc>
          <w:tcPr>
            <w:tcW w:w="2642" w:type="dxa"/>
            <w:shd w:val="clear" w:color="auto" w:fill="auto"/>
          </w:tcPr>
          <w:p w14:paraId="7C327E23" w14:textId="77777777" w:rsidR="00FA3279" w:rsidRPr="00FA3279" w:rsidRDefault="00FA3279" w:rsidP="002D4FFE">
            <w:pPr>
              <w:pStyle w:val="NoSpacing"/>
              <w:jc w:val="center"/>
              <w:rPr>
                <w:rFonts w:cs="Calibri"/>
              </w:rPr>
            </w:pPr>
            <w:r w:rsidRPr="00FA3279">
              <w:rPr>
                <w:rFonts w:cs="Calibri"/>
              </w:rPr>
              <w:t xml:space="preserve">11/32   </w:t>
            </w:r>
            <w:r w:rsidRPr="00FA3279">
              <w:rPr>
                <w:rFonts w:cs="Calibri"/>
                <w:b/>
              </w:rPr>
              <w:t>(34%)</w:t>
            </w:r>
          </w:p>
        </w:tc>
      </w:tr>
      <w:tr w:rsidR="00FA3279" w:rsidRPr="00FA3279" w14:paraId="41A09536" w14:textId="77777777" w:rsidTr="002D4FFE">
        <w:tc>
          <w:tcPr>
            <w:tcW w:w="3681" w:type="dxa"/>
            <w:shd w:val="clear" w:color="auto" w:fill="D9D9D9"/>
          </w:tcPr>
          <w:p w14:paraId="724DC183" w14:textId="77777777" w:rsidR="00FA3279" w:rsidRPr="00FA3279" w:rsidRDefault="00FA3279" w:rsidP="002D4FFE">
            <w:pPr>
              <w:pStyle w:val="NoSpacing"/>
              <w:rPr>
                <w:rFonts w:cs="Calibri"/>
              </w:rPr>
            </w:pPr>
            <w:r w:rsidRPr="00FA3279">
              <w:rPr>
                <w:rFonts w:cs="Calibri"/>
              </w:rPr>
              <w:t>Writing</w:t>
            </w:r>
          </w:p>
        </w:tc>
        <w:tc>
          <w:tcPr>
            <w:tcW w:w="2693" w:type="dxa"/>
            <w:shd w:val="clear" w:color="auto" w:fill="auto"/>
          </w:tcPr>
          <w:p w14:paraId="2C05B7FA" w14:textId="77777777" w:rsidR="00FA3279" w:rsidRPr="00FA3279" w:rsidRDefault="00FA3279" w:rsidP="002D4FFE">
            <w:pPr>
              <w:pStyle w:val="NoSpacing"/>
              <w:jc w:val="center"/>
              <w:rPr>
                <w:rFonts w:cs="Calibri"/>
              </w:rPr>
            </w:pPr>
            <w:r w:rsidRPr="00FA3279">
              <w:rPr>
                <w:rFonts w:cs="Calibri"/>
              </w:rPr>
              <w:t xml:space="preserve">31/32   </w:t>
            </w:r>
            <w:r w:rsidRPr="00FA3279">
              <w:rPr>
                <w:rFonts w:cs="Calibri"/>
                <w:b/>
              </w:rPr>
              <w:t>(97%)</w:t>
            </w:r>
          </w:p>
        </w:tc>
        <w:tc>
          <w:tcPr>
            <w:tcW w:w="2642" w:type="dxa"/>
            <w:shd w:val="clear" w:color="auto" w:fill="auto"/>
          </w:tcPr>
          <w:p w14:paraId="726FAF2F" w14:textId="77777777" w:rsidR="00FA3279" w:rsidRPr="00FA3279" w:rsidRDefault="00FA3279" w:rsidP="002D4FFE">
            <w:pPr>
              <w:pStyle w:val="NoSpacing"/>
              <w:jc w:val="center"/>
              <w:rPr>
                <w:rFonts w:cs="Calibri"/>
              </w:rPr>
            </w:pPr>
            <w:r w:rsidRPr="00FA3279">
              <w:rPr>
                <w:rFonts w:cs="Calibri"/>
              </w:rPr>
              <w:t xml:space="preserve">15/32   </w:t>
            </w:r>
            <w:r w:rsidRPr="00FA3279">
              <w:rPr>
                <w:rFonts w:cs="Calibri"/>
                <w:b/>
              </w:rPr>
              <w:t>(47%)</w:t>
            </w:r>
          </w:p>
        </w:tc>
      </w:tr>
      <w:tr w:rsidR="00FA3279" w:rsidRPr="00FA3279" w14:paraId="4D16EC6B" w14:textId="77777777" w:rsidTr="002D4FFE">
        <w:tc>
          <w:tcPr>
            <w:tcW w:w="3681" w:type="dxa"/>
            <w:shd w:val="clear" w:color="auto" w:fill="D9D9D9"/>
          </w:tcPr>
          <w:p w14:paraId="48890B43" w14:textId="77777777" w:rsidR="00FA3279" w:rsidRPr="00FA3279" w:rsidRDefault="00FA3279" w:rsidP="002D4FFE">
            <w:pPr>
              <w:pStyle w:val="NoSpacing"/>
              <w:rPr>
                <w:rFonts w:cs="Calibri"/>
              </w:rPr>
            </w:pPr>
            <w:r w:rsidRPr="00FA3279">
              <w:rPr>
                <w:rFonts w:cs="Calibri"/>
              </w:rPr>
              <w:t>Maths</w:t>
            </w:r>
          </w:p>
        </w:tc>
        <w:tc>
          <w:tcPr>
            <w:tcW w:w="2693" w:type="dxa"/>
            <w:shd w:val="clear" w:color="auto" w:fill="auto"/>
          </w:tcPr>
          <w:p w14:paraId="4C81F097" w14:textId="77777777" w:rsidR="00FA3279" w:rsidRPr="00FA3279" w:rsidRDefault="00FA3279" w:rsidP="002D4FFE">
            <w:pPr>
              <w:pStyle w:val="NoSpacing"/>
              <w:jc w:val="center"/>
              <w:rPr>
                <w:rFonts w:cs="Calibri"/>
              </w:rPr>
            </w:pPr>
            <w:r w:rsidRPr="00FA3279">
              <w:rPr>
                <w:rFonts w:cs="Calibri"/>
              </w:rPr>
              <w:t xml:space="preserve">29/32   </w:t>
            </w:r>
            <w:r w:rsidRPr="00FA3279">
              <w:rPr>
                <w:rFonts w:cs="Calibri"/>
                <w:b/>
              </w:rPr>
              <w:t>(91%)</w:t>
            </w:r>
          </w:p>
        </w:tc>
        <w:tc>
          <w:tcPr>
            <w:tcW w:w="2642" w:type="dxa"/>
            <w:shd w:val="clear" w:color="auto" w:fill="auto"/>
          </w:tcPr>
          <w:p w14:paraId="2FF7B63C" w14:textId="77777777" w:rsidR="00FA3279" w:rsidRPr="00FA3279" w:rsidRDefault="00FA3279" w:rsidP="002D4FFE">
            <w:pPr>
              <w:pStyle w:val="NoSpacing"/>
              <w:jc w:val="center"/>
              <w:rPr>
                <w:rFonts w:cs="Calibri"/>
              </w:rPr>
            </w:pPr>
            <w:r w:rsidRPr="00FA3279">
              <w:rPr>
                <w:rFonts w:cs="Calibri"/>
              </w:rPr>
              <w:t xml:space="preserve">7/32   </w:t>
            </w:r>
            <w:r w:rsidRPr="00FA3279">
              <w:rPr>
                <w:rFonts w:cs="Calibri"/>
                <w:b/>
              </w:rPr>
              <w:t>(22%)</w:t>
            </w:r>
          </w:p>
        </w:tc>
      </w:tr>
    </w:tbl>
    <w:p w14:paraId="0378AFCC" w14:textId="77777777" w:rsidR="00FA3279" w:rsidRPr="00FA3279" w:rsidRDefault="00FA3279" w:rsidP="00FA3279">
      <w:pPr>
        <w:pStyle w:val="NoSpacing"/>
        <w:rPr>
          <w:rFonts w:cs="Calibri"/>
        </w:rPr>
      </w:pPr>
    </w:p>
    <w:p w14:paraId="47FCE04D" w14:textId="77777777" w:rsidR="00FA3279" w:rsidRPr="00FA3279" w:rsidRDefault="00FA3279" w:rsidP="00FA3279">
      <w:pPr>
        <w:pStyle w:val="NoSpacing"/>
        <w:rPr>
          <w:rFonts w:cs="Calibri"/>
        </w:rPr>
      </w:pPr>
      <w:r w:rsidRPr="00FA3279">
        <w:rPr>
          <w:rFonts w:cs="Calibri"/>
        </w:rPr>
        <w:t>Comparing the Year 2 and Year 6 data for this cohort, the percentage of children working at age related expectation increased from Year 2 to Year 6 in both reading (up 6%) and writing (up 9%). There was a slight dip in the percentage of children working at age related expectation in Year 6 (down 3%). Lockdown and home learning impacted Maths attainment and progress more than other subjects due to the need for manipulatives and the number of different skills that the pupils need to master.</w:t>
      </w:r>
    </w:p>
    <w:p w14:paraId="4B35D6D8" w14:textId="77777777" w:rsidR="00FA3279" w:rsidRPr="00FA3279" w:rsidRDefault="00FA3279" w:rsidP="00FA3279">
      <w:pPr>
        <w:pStyle w:val="NoSpacing"/>
        <w:rPr>
          <w:rFonts w:cs="Calibri"/>
          <w:b/>
        </w:rPr>
      </w:pPr>
    </w:p>
    <w:p w14:paraId="6B7FF362" w14:textId="77777777" w:rsidR="00FA3279" w:rsidRPr="00FA3279" w:rsidRDefault="00FA3279" w:rsidP="00FA3279">
      <w:pPr>
        <w:pStyle w:val="NoSpacing"/>
        <w:rPr>
          <w:rFonts w:cs="Calibri"/>
        </w:rPr>
      </w:pPr>
      <w:r w:rsidRPr="00FA3279">
        <w:rPr>
          <w:rFonts w:cs="Calibri"/>
        </w:rPr>
        <w:t>There was a significant increase in the percentage of children working at greater depth in reading, writing or maths. This went up from single digit percentages in all of the core subjects in Year 2, up to 22% in wri</w:t>
      </w:r>
      <w:r w:rsidRPr="00FA3279">
        <w:rPr>
          <w:rFonts w:cs="Calibri"/>
        </w:rPr>
        <w:t>t</w:t>
      </w:r>
      <w:r w:rsidRPr="00FA3279">
        <w:rPr>
          <w:rFonts w:cs="Calibri"/>
        </w:rPr>
        <w:t>ing and 25% in reading and maths by the time the children were in Year 6.</w:t>
      </w:r>
    </w:p>
    <w:p w14:paraId="26A8EB6B" w14:textId="77777777" w:rsidR="00FA3279" w:rsidRPr="00FA3279" w:rsidRDefault="00FA3279" w:rsidP="00FA3279">
      <w:pPr>
        <w:pStyle w:val="NoSpacing"/>
        <w:rPr>
          <w:rFonts w:cs="Calibri"/>
        </w:rPr>
      </w:pPr>
    </w:p>
    <w:p w14:paraId="395C223E" w14:textId="77777777" w:rsidR="00FA3279" w:rsidRPr="00FA3279" w:rsidRDefault="00FA3279" w:rsidP="00FA3279">
      <w:pPr>
        <w:pStyle w:val="NoSpacing"/>
        <w:rPr>
          <w:rFonts w:cs="Calibri"/>
        </w:rPr>
      </w:pPr>
      <w:r w:rsidRPr="00FA3279">
        <w:rPr>
          <w:rFonts w:cs="Calibri"/>
        </w:rPr>
        <w:t>A high number of pupils made an exceeding level of progress between the end of the two key stages (34% in reading, 47% in writing and 22% in maths).</w:t>
      </w:r>
    </w:p>
    <w:p w14:paraId="32A22CA1" w14:textId="5DC3F21F" w:rsidR="00FA3279" w:rsidRPr="00FA3279" w:rsidRDefault="00FA3279" w:rsidP="002F7459">
      <w:pPr>
        <w:spacing w:after="0" w:line="240" w:lineRule="auto"/>
        <w:rPr>
          <w:rFonts w:asciiTheme="minorHAnsi" w:hAnsiTheme="minorHAnsi" w:cstheme="minorHAnsi"/>
          <w:sz w:val="22"/>
          <w:szCs w:val="22"/>
        </w:rPr>
      </w:pPr>
    </w:p>
    <w:p w14:paraId="412C6F78" w14:textId="60BD311F" w:rsidR="00FA3279" w:rsidRPr="00FA3279" w:rsidRDefault="00FA3279" w:rsidP="002F7459">
      <w:pPr>
        <w:spacing w:after="0" w:line="240" w:lineRule="auto"/>
        <w:rPr>
          <w:rFonts w:asciiTheme="minorHAnsi" w:hAnsiTheme="minorHAnsi" w:cstheme="minorHAnsi"/>
          <w:sz w:val="22"/>
          <w:szCs w:val="22"/>
        </w:rPr>
      </w:pPr>
    </w:p>
    <w:p w14:paraId="55126CFE" w14:textId="3EEC3A58" w:rsidR="00FA3279" w:rsidRPr="00FA3279" w:rsidRDefault="00FA3279" w:rsidP="002F7459">
      <w:pPr>
        <w:spacing w:after="0" w:line="240" w:lineRule="auto"/>
        <w:rPr>
          <w:rFonts w:asciiTheme="minorHAnsi" w:hAnsiTheme="minorHAnsi" w:cstheme="minorHAnsi"/>
          <w:sz w:val="22"/>
          <w:szCs w:val="22"/>
        </w:rPr>
      </w:pPr>
    </w:p>
    <w:p w14:paraId="0787154B" w14:textId="6448911F" w:rsidR="00FA3279" w:rsidRPr="00FA3279" w:rsidRDefault="00FA3279" w:rsidP="002F7459">
      <w:pPr>
        <w:spacing w:after="0" w:line="240" w:lineRule="auto"/>
        <w:rPr>
          <w:rFonts w:asciiTheme="minorHAnsi" w:hAnsiTheme="minorHAnsi" w:cstheme="minorHAnsi"/>
          <w:sz w:val="22"/>
          <w:szCs w:val="22"/>
        </w:rPr>
      </w:pPr>
    </w:p>
    <w:p w14:paraId="4EF438EA" w14:textId="0A383D02" w:rsidR="00FA3279" w:rsidRDefault="00FA3279" w:rsidP="002F7459">
      <w:pPr>
        <w:spacing w:after="0" w:line="240" w:lineRule="auto"/>
        <w:rPr>
          <w:rFonts w:asciiTheme="minorHAnsi" w:hAnsiTheme="minorHAnsi" w:cstheme="minorHAnsi"/>
          <w:sz w:val="22"/>
          <w:szCs w:val="22"/>
        </w:rPr>
      </w:pPr>
    </w:p>
    <w:p w14:paraId="33279E29" w14:textId="77777777" w:rsidR="00F9029D" w:rsidRDefault="00F9029D" w:rsidP="002F7459">
      <w:pPr>
        <w:spacing w:after="0" w:line="240" w:lineRule="auto"/>
        <w:rPr>
          <w:rFonts w:asciiTheme="minorHAnsi" w:hAnsiTheme="minorHAnsi" w:cstheme="minorHAnsi"/>
          <w:sz w:val="22"/>
          <w:szCs w:val="22"/>
        </w:rPr>
      </w:pPr>
    </w:p>
    <w:p w14:paraId="11EB4BC9" w14:textId="77777777" w:rsidR="00F9029D" w:rsidRDefault="00F9029D" w:rsidP="002F7459">
      <w:pPr>
        <w:spacing w:after="0" w:line="240" w:lineRule="auto"/>
        <w:rPr>
          <w:rFonts w:asciiTheme="minorHAnsi" w:hAnsiTheme="minorHAnsi" w:cstheme="minorHAnsi"/>
          <w:sz w:val="22"/>
          <w:szCs w:val="22"/>
        </w:rPr>
      </w:pPr>
    </w:p>
    <w:p w14:paraId="0AC71D0A" w14:textId="77777777" w:rsidR="00F9029D" w:rsidRDefault="00F9029D" w:rsidP="002F7459">
      <w:pPr>
        <w:spacing w:after="0" w:line="240" w:lineRule="auto"/>
        <w:rPr>
          <w:rFonts w:asciiTheme="minorHAnsi" w:hAnsiTheme="minorHAnsi" w:cstheme="minorHAnsi"/>
          <w:sz w:val="22"/>
          <w:szCs w:val="22"/>
        </w:rPr>
      </w:pPr>
    </w:p>
    <w:p w14:paraId="13B1B2E5" w14:textId="77777777" w:rsidR="00F9029D" w:rsidRDefault="00F9029D" w:rsidP="002F7459">
      <w:pPr>
        <w:spacing w:after="0" w:line="240" w:lineRule="auto"/>
        <w:rPr>
          <w:rFonts w:asciiTheme="minorHAnsi" w:hAnsiTheme="minorHAnsi" w:cstheme="minorHAnsi"/>
          <w:sz w:val="22"/>
          <w:szCs w:val="22"/>
        </w:rPr>
      </w:pPr>
    </w:p>
    <w:p w14:paraId="2328BFC1" w14:textId="77777777" w:rsidR="00F9029D" w:rsidRDefault="00F9029D" w:rsidP="002F7459">
      <w:pPr>
        <w:spacing w:after="0" w:line="240" w:lineRule="auto"/>
        <w:rPr>
          <w:rFonts w:asciiTheme="minorHAnsi" w:hAnsiTheme="minorHAnsi" w:cstheme="minorHAnsi"/>
          <w:sz w:val="22"/>
          <w:szCs w:val="22"/>
        </w:rPr>
      </w:pPr>
    </w:p>
    <w:p w14:paraId="6D510A4E" w14:textId="77777777" w:rsidR="00F9029D" w:rsidRDefault="00F9029D" w:rsidP="002F7459">
      <w:pPr>
        <w:spacing w:after="0" w:line="240" w:lineRule="auto"/>
        <w:rPr>
          <w:rFonts w:asciiTheme="minorHAnsi" w:hAnsiTheme="minorHAnsi" w:cstheme="minorHAnsi"/>
          <w:sz w:val="22"/>
          <w:szCs w:val="22"/>
        </w:rPr>
      </w:pPr>
    </w:p>
    <w:p w14:paraId="59053F35" w14:textId="77777777" w:rsidR="00F9029D" w:rsidRDefault="00F9029D" w:rsidP="002F7459">
      <w:pPr>
        <w:spacing w:after="0" w:line="240" w:lineRule="auto"/>
        <w:rPr>
          <w:rFonts w:asciiTheme="minorHAnsi" w:hAnsiTheme="minorHAnsi" w:cstheme="minorHAnsi"/>
          <w:sz w:val="22"/>
          <w:szCs w:val="22"/>
        </w:rPr>
      </w:pPr>
    </w:p>
    <w:p w14:paraId="3956AB3F" w14:textId="77777777" w:rsidR="00F9029D" w:rsidRPr="00FA3279" w:rsidRDefault="00F9029D" w:rsidP="002F7459">
      <w:pPr>
        <w:spacing w:after="0" w:line="240" w:lineRule="auto"/>
        <w:rPr>
          <w:rFonts w:asciiTheme="minorHAnsi" w:hAnsiTheme="minorHAnsi" w:cstheme="minorHAnsi"/>
          <w:sz w:val="22"/>
          <w:szCs w:val="22"/>
        </w:rPr>
      </w:pPr>
    </w:p>
    <w:p w14:paraId="2A891A98" w14:textId="68CDFAC7" w:rsidR="00FA3279" w:rsidRPr="00FA3279" w:rsidRDefault="00FA3279" w:rsidP="002F7459">
      <w:pPr>
        <w:spacing w:after="0" w:line="240" w:lineRule="auto"/>
        <w:rPr>
          <w:rFonts w:asciiTheme="minorHAnsi" w:hAnsiTheme="minorHAnsi" w:cstheme="minorHAnsi"/>
          <w:sz w:val="22"/>
          <w:szCs w:val="22"/>
        </w:rPr>
      </w:pPr>
    </w:p>
    <w:p w14:paraId="5222C89F" w14:textId="77777777" w:rsidR="007D72D2" w:rsidRPr="00FA3279" w:rsidRDefault="007D72D2" w:rsidP="007D72D2">
      <w:pPr>
        <w:spacing w:after="0" w:line="240" w:lineRule="auto"/>
        <w:rPr>
          <w:rFonts w:asciiTheme="minorHAnsi" w:hAnsiTheme="minorHAnsi" w:cstheme="minorHAnsi"/>
          <w:sz w:val="22"/>
          <w:szCs w:val="22"/>
        </w:rPr>
      </w:pPr>
    </w:p>
    <w:p w14:paraId="3A65B546" w14:textId="35C69214" w:rsidR="007D72D2" w:rsidRPr="00FA3279" w:rsidRDefault="007D72D2" w:rsidP="00FA3279">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lastRenderedPageBreak/>
        <w:t>End of year data outcomes for 2020/2021</w:t>
      </w:r>
    </w:p>
    <w:p w14:paraId="6AE82288" w14:textId="77777777" w:rsidR="007D72D2" w:rsidRPr="00FA3279" w:rsidRDefault="007D72D2" w:rsidP="007D72D2">
      <w:pPr>
        <w:spacing w:after="0" w:line="240" w:lineRule="auto"/>
        <w:jc w:val="center"/>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Year 2</w:t>
      </w:r>
    </w:p>
    <w:p w14:paraId="6681AF05" w14:textId="77777777" w:rsidR="007D72D2" w:rsidRPr="00FA3279" w:rsidRDefault="007D72D2" w:rsidP="007D72D2">
      <w:pPr>
        <w:spacing w:after="0" w:line="240" w:lineRule="auto"/>
        <w:jc w:val="center"/>
        <w:rPr>
          <w:rFonts w:asciiTheme="minorHAnsi" w:hAnsiTheme="minorHAnsi" w:cstheme="minorHAnsi"/>
          <w:b/>
          <w:bCs/>
          <w:sz w:val="22"/>
          <w:szCs w:val="22"/>
          <w:u w:val="single"/>
        </w:rPr>
      </w:pPr>
    </w:p>
    <w:tbl>
      <w:tblPr>
        <w:tblStyle w:val="TableGrid"/>
        <w:tblW w:w="0" w:type="auto"/>
        <w:tblLook w:val="04A0" w:firstRow="1" w:lastRow="0" w:firstColumn="1" w:lastColumn="0" w:noHBand="0" w:noVBand="1"/>
      </w:tblPr>
      <w:tblGrid>
        <w:gridCol w:w="1704"/>
        <w:gridCol w:w="1483"/>
        <w:gridCol w:w="1383"/>
        <w:gridCol w:w="1536"/>
      </w:tblGrid>
      <w:tr w:rsidR="007D72D2" w:rsidRPr="00FA3279" w14:paraId="61C14370" w14:textId="77777777" w:rsidTr="00574CC7">
        <w:tc>
          <w:tcPr>
            <w:tcW w:w="1704" w:type="dxa"/>
            <w:shd w:val="clear" w:color="auto" w:fill="D9D9D9" w:themeFill="background1" w:themeFillShade="D9"/>
          </w:tcPr>
          <w:p w14:paraId="18243726" w14:textId="77777777" w:rsidR="007D72D2" w:rsidRPr="00FA3279" w:rsidRDefault="007D72D2" w:rsidP="007D72D2">
            <w:pPr>
              <w:spacing w:after="0" w:line="240" w:lineRule="auto"/>
              <w:jc w:val="center"/>
              <w:rPr>
                <w:rFonts w:cstheme="minorHAnsi"/>
                <w:b/>
                <w:bCs/>
                <w:sz w:val="22"/>
                <w:szCs w:val="22"/>
              </w:rPr>
            </w:pPr>
          </w:p>
        </w:tc>
        <w:tc>
          <w:tcPr>
            <w:tcW w:w="1483" w:type="dxa"/>
            <w:shd w:val="clear" w:color="auto" w:fill="D9D9D9" w:themeFill="background1" w:themeFillShade="D9"/>
          </w:tcPr>
          <w:p w14:paraId="40646899"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National At KS1</w:t>
            </w:r>
          </w:p>
        </w:tc>
        <w:tc>
          <w:tcPr>
            <w:tcW w:w="1383" w:type="dxa"/>
            <w:shd w:val="clear" w:color="auto" w:fill="D9D9D9" w:themeFill="background1" w:themeFillShade="D9"/>
          </w:tcPr>
          <w:p w14:paraId="670D8D79"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National Above KS1</w:t>
            </w:r>
          </w:p>
        </w:tc>
        <w:tc>
          <w:tcPr>
            <w:tcW w:w="1536" w:type="dxa"/>
            <w:shd w:val="clear" w:color="auto" w:fill="D9D9D9" w:themeFill="background1" w:themeFillShade="D9"/>
          </w:tcPr>
          <w:p w14:paraId="0DF93746"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PP</w:t>
            </w:r>
          </w:p>
          <w:p w14:paraId="2CCA2384"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20</w:t>
            </w:r>
          </w:p>
        </w:tc>
      </w:tr>
      <w:tr w:rsidR="007D72D2" w:rsidRPr="00FA3279" w14:paraId="25B1C09B" w14:textId="77777777" w:rsidTr="00574CC7">
        <w:tc>
          <w:tcPr>
            <w:tcW w:w="1704" w:type="dxa"/>
            <w:shd w:val="clear" w:color="auto" w:fill="D9D9D9" w:themeFill="background1" w:themeFillShade="D9"/>
          </w:tcPr>
          <w:p w14:paraId="4E44FA46" w14:textId="5F1F82C6" w:rsidR="007D72D2" w:rsidRPr="00FA3279" w:rsidRDefault="007D72D2" w:rsidP="007D72D2">
            <w:pPr>
              <w:spacing w:after="0" w:line="240" w:lineRule="auto"/>
              <w:jc w:val="center"/>
              <w:rPr>
                <w:rFonts w:cstheme="minorHAnsi"/>
                <w:sz w:val="22"/>
                <w:szCs w:val="22"/>
              </w:rPr>
            </w:pPr>
            <w:r w:rsidRPr="00FA3279">
              <w:rPr>
                <w:rFonts w:cstheme="minorHAnsi"/>
                <w:sz w:val="22"/>
                <w:szCs w:val="22"/>
              </w:rPr>
              <w:t>Reading</w:t>
            </w:r>
          </w:p>
        </w:tc>
        <w:tc>
          <w:tcPr>
            <w:tcW w:w="1483" w:type="dxa"/>
          </w:tcPr>
          <w:p w14:paraId="4742406C"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75%</w:t>
            </w:r>
          </w:p>
        </w:tc>
        <w:tc>
          <w:tcPr>
            <w:tcW w:w="1383" w:type="dxa"/>
          </w:tcPr>
          <w:p w14:paraId="53AE45C7"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25%</w:t>
            </w:r>
          </w:p>
        </w:tc>
        <w:tc>
          <w:tcPr>
            <w:tcW w:w="1536" w:type="dxa"/>
          </w:tcPr>
          <w:p w14:paraId="5FB7B543"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70%</w:t>
            </w:r>
          </w:p>
        </w:tc>
      </w:tr>
      <w:tr w:rsidR="007D72D2" w:rsidRPr="00FA3279" w14:paraId="2D975059" w14:textId="77777777" w:rsidTr="00574CC7">
        <w:tc>
          <w:tcPr>
            <w:tcW w:w="1704" w:type="dxa"/>
            <w:shd w:val="clear" w:color="auto" w:fill="D9D9D9" w:themeFill="background1" w:themeFillShade="D9"/>
          </w:tcPr>
          <w:p w14:paraId="2F36B80D" w14:textId="56E8D9FE" w:rsidR="007D72D2" w:rsidRPr="00FA3279" w:rsidRDefault="007D72D2" w:rsidP="007D72D2">
            <w:pPr>
              <w:spacing w:after="0" w:line="240" w:lineRule="auto"/>
              <w:jc w:val="center"/>
              <w:rPr>
                <w:rFonts w:cstheme="minorHAnsi"/>
                <w:sz w:val="22"/>
                <w:szCs w:val="22"/>
              </w:rPr>
            </w:pPr>
            <w:r w:rsidRPr="00FA3279">
              <w:rPr>
                <w:rFonts w:cstheme="minorHAnsi"/>
                <w:sz w:val="22"/>
                <w:szCs w:val="22"/>
              </w:rPr>
              <w:t>Writing</w:t>
            </w:r>
          </w:p>
        </w:tc>
        <w:tc>
          <w:tcPr>
            <w:tcW w:w="1483" w:type="dxa"/>
          </w:tcPr>
          <w:p w14:paraId="613F97F9"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69%</w:t>
            </w:r>
          </w:p>
        </w:tc>
        <w:tc>
          <w:tcPr>
            <w:tcW w:w="1383" w:type="dxa"/>
          </w:tcPr>
          <w:p w14:paraId="5FB60FB6"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15%</w:t>
            </w:r>
          </w:p>
        </w:tc>
        <w:tc>
          <w:tcPr>
            <w:tcW w:w="1536" w:type="dxa"/>
          </w:tcPr>
          <w:p w14:paraId="6685944E"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55%</w:t>
            </w:r>
          </w:p>
        </w:tc>
      </w:tr>
      <w:tr w:rsidR="007D72D2" w:rsidRPr="00FA3279" w14:paraId="7303F4F3" w14:textId="77777777" w:rsidTr="00574CC7">
        <w:tc>
          <w:tcPr>
            <w:tcW w:w="1704" w:type="dxa"/>
            <w:shd w:val="clear" w:color="auto" w:fill="D9D9D9" w:themeFill="background1" w:themeFillShade="D9"/>
          </w:tcPr>
          <w:p w14:paraId="20F24245" w14:textId="3DFFCCFA" w:rsidR="007D72D2" w:rsidRPr="00FA3279" w:rsidRDefault="007D72D2" w:rsidP="007D72D2">
            <w:pPr>
              <w:spacing w:after="0" w:line="240" w:lineRule="auto"/>
              <w:jc w:val="center"/>
              <w:rPr>
                <w:rFonts w:cstheme="minorHAnsi"/>
                <w:sz w:val="22"/>
                <w:szCs w:val="22"/>
              </w:rPr>
            </w:pPr>
            <w:r w:rsidRPr="00FA3279">
              <w:rPr>
                <w:rFonts w:cstheme="minorHAnsi"/>
                <w:sz w:val="22"/>
                <w:szCs w:val="22"/>
              </w:rPr>
              <w:t>Maths</w:t>
            </w:r>
          </w:p>
        </w:tc>
        <w:tc>
          <w:tcPr>
            <w:tcW w:w="1483" w:type="dxa"/>
          </w:tcPr>
          <w:p w14:paraId="08E5260A"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76%</w:t>
            </w:r>
          </w:p>
        </w:tc>
        <w:tc>
          <w:tcPr>
            <w:tcW w:w="1383" w:type="dxa"/>
          </w:tcPr>
          <w:p w14:paraId="59F1005C"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22%</w:t>
            </w:r>
          </w:p>
        </w:tc>
        <w:tc>
          <w:tcPr>
            <w:tcW w:w="1536" w:type="dxa"/>
          </w:tcPr>
          <w:p w14:paraId="0DA7A224"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70%</w:t>
            </w:r>
          </w:p>
        </w:tc>
      </w:tr>
      <w:tr w:rsidR="007D72D2" w:rsidRPr="00FA3279" w14:paraId="2A4F31C5" w14:textId="77777777" w:rsidTr="00574CC7">
        <w:tc>
          <w:tcPr>
            <w:tcW w:w="1704" w:type="dxa"/>
            <w:shd w:val="clear" w:color="auto" w:fill="D9D9D9" w:themeFill="background1" w:themeFillShade="D9"/>
          </w:tcPr>
          <w:p w14:paraId="79D8FF1E"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Combined</w:t>
            </w:r>
          </w:p>
        </w:tc>
        <w:tc>
          <w:tcPr>
            <w:tcW w:w="1483" w:type="dxa"/>
          </w:tcPr>
          <w:p w14:paraId="14C01105"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x</w:t>
            </w:r>
          </w:p>
        </w:tc>
        <w:tc>
          <w:tcPr>
            <w:tcW w:w="1383" w:type="dxa"/>
          </w:tcPr>
          <w:p w14:paraId="2759AEAE"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x</w:t>
            </w:r>
          </w:p>
        </w:tc>
        <w:tc>
          <w:tcPr>
            <w:tcW w:w="1536" w:type="dxa"/>
          </w:tcPr>
          <w:p w14:paraId="368F1617"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45%</w:t>
            </w:r>
          </w:p>
        </w:tc>
      </w:tr>
    </w:tbl>
    <w:p w14:paraId="0356136C" w14:textId="77777777" w:rsidR="007D72D2" w:rsidRPr="00FA3279" w:rsidRDefault="007D72D2" w:rsidP="00FA3279">
      <w:pPr>
        <w:spacing w:after="0" w:line="240" w:lineRule="auto"/>
        <w:rPr>
          <w:rFonts w:asciiTheme="minorHAnsi" w:hAnsiTheme="minorHAnsi" w:cstheme="minorHAnsi"/>
          <w:b/>
          <w:bCs/>
          <w:sz w:val="22"/>
          <w:szCs w:val="22"/>
          <w:u w:val="single"/>
        </w:rPr>
      </w:pPr>
    </w:p>
    <w:p w14:paraId="1833D88C" w14:textId="77777777" w:rsidR="007D72D2" w:rsidRPr="00FA3279" w:rsidRDefault="007D72D2" w:rsidP="007D72D2">
      <w:pPr>
        <w:spacing w:after="0" w:line="240" w:lineRule="auto"/>
        <w:jc w:val="center"/>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Year 6</w:t>
      </w:r>
    </w:p>
    <w:p w14:paraId="1807432F" w14:textId="77777777" w:rsidR="007D72D2" w:rsidRPr="00FA3279" w:rsidRDefault="007D72D2" w:rsidP="007D72D2">
      <w:pPr>
        <w:spacing w:after="0" w:line="240" w:lineRule="auto"/>
        <w:jc w:val="center"/>
        <w:rPr>
          <w:rFonts w:asciiTheme="minorHAnsi" w:hAnsiTheme="minorHAnsi" w:cstheme="minorHAnsi"/>
          <w:b/>
          <w:bCs/>
          <w:sz w:val="22"/>
          <w:szCs w:val="22"/>
          <w:u w:val="single"/>
        </w:rPr>
      </w:pPr>
    </w:p>
    <w:tbl>
      <w:tblPr>
        <w:tblStyle w:val="TableGrid"/>
        <w:tblW w:w="0" w:type="auto"/>
        <w:tblLook w:val="04A0" w:firstRow="1" w:lastRow="0" w:firstColumn="1" w:lastColumn="0" w:noHBand="0" w:noVBand="1"/>
      </w:tblPr>
      <w:tblGrid>
        <w:gridCol w:w="1704"/>
        <w:gridCol w:w="1483"/>
        <w:gridCol w:w="1383"/>
        <w:gridCol w:w="1536"/>
      </w:tblGrid>
      <w:tr w:rsidR="007D72D2" w:rsidRPr="00FA3279" w14:paraId="608EA21C" w14:textId="77777777" w:rsidTr="00574CC7">
        <w:trPr>
          <w:trHeight w:val="615"/>
        </w:trPr>
        <w:tc>
          <w:tcPr>
            <w:tcW w:w="1704" w:type="dxa"/>
            <w:shd w:val="clear" w:color="auto" w:fill="D9D9D9" w:themeFill="background1" w:themeFillShade="D9"/>
          </w:tcPr>
          <w:p w14:paraId="69A9311F" w14:textId="77777777" w:rsidR="007D72D2" w:rsidRPr="00FA3279" w:rsidRDefault="007D72D2" w:rsidP="007D72D2">
            <w:pPr>
              <w:spacing w:after="0" w:line="240" w:lineRule="auto"/>
              <w:jc w:val="center"/>
              <w:rPr>
                <w:rFonts w:cstheme="minorHAnsi"/>
                <w:b/>
                <w:bCs/>
                <w:sz w:val="22"/>
                <w:szCs w:val="22"/>
              </w:rPr>
            </w:pPr>
          </w:p>
        </w:tc>
        <w:tc>
          <w:tcPr>
            <w:tcW w:w="1483" w:type="dxa"/>
            <w:shd w:val="clear" w:color="auto" w:fill="D9D9D9" w:themeFill="background1" w:themeFillShade="D9"/>
          </w:tcPr>
          <w:p w14:paraId="1ACE644E"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National At KS2</w:t>
            </w:r>
          </w:p>
        </w:tc>
        <w:tc>
          <w:tcPr>
            <w:tcW w:w="1383" w:type="dxa"/>
            <w:shd w:val="clear" w:color="auto" w:fill="D9D9D9" w:themeFill="background1" w:themeFillShade="D9"/>
          </w:tcPr>
          <w:p w14:paraId="7AEAC957"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National Above KS2</w:t>
            </w:r>
          </w:p>
        </w:tc>
        <w:tc>
          <w:tcPr>
            <w:tcW w:w="1536" w:type="dxa"/>
            <w:shd w:val="clear" w:color="auto" w:fill="D9D9D9" w:themeFill="background1" w:themeFillShade="D9"/>
          </w:tcPr>
          <w:p w14:paraId="1C3B19F9"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PP</w:t>
            </w:r>
          </w:p>
          <w:p w14:paraId="2260399B" w14:textId="77777777" w:rsidR="007D72D2" w:rsidRPr="00FA3279" w:rsidRDefault="007D72D2" w:rsidP="007D72D2">
            <w:pPr>
              <w:spacing w:after="0" w:line="240" w:lineRule="auto"/>
              <w:jc w:val="center"/>
              <w:rPr>
                <w:rFonts w:cstheme="minorHAnsi"/>
                <w:b/>
                <w:bCs/>
                <w:sz w:val="22"/>
                <w:szCs w:val="22"/>
              </w:rPr>
            </w:pPr>
            <w:r w:rsidRPr="00FA3279">
              <w:rPr>
                <w:rFonts w:cstheme="minorHAnsi"/>
                <w:b/>
                <w:bCs/>
                <w:sz w:val="22"/>
                <w:szCs w:val="22"/>
              </w:rPr>
              <w:t>27</w:t>
            </w:r>
          </w:p>
        </w:tc>
      </w:tr>
      <w:tr w:rsidR="007D72D2" w:rsidRPr="00FA3279" w14:paraId="22FCCACD" w14:textId="77777777" w:rsidTr="00574CC7">
        <w:tc>
          <w:tcPr>
            <w:tcW w:w="1704" w:type="dxa"/>
            <w:shd w:val="clear" w:color="auto" w:fill="D9D9D9" w:themeFill="background1" w:themeFillShade="D9"/>
          </w:tcPr>
          <w:p w14:paraId="5AEDEBDB" w14:textId="154486DF" w:rsidR="007D72D2" w:rsidRPr="00FA3279" w:rsidRDefault="007D72D2" w:rsidP="007D72D2">
            <w:pPr>
              <w:spacing w:after="0" w:line="240" w:lineRule="auto"/>
              <w:jc w:val="center"/>
              <w:rPr>
                <w:rFonts w:cstheme="minorHAnsi"/>
                <w:sz w:val="22"/>
                <w:szCs w:val="22"/>
              </w:rPr>
            </w:pPr>
            <w:r w:rsidRPr="00FA3279">
              <w:rPr>
                <w:rFonts w:cstheme="minorHAnsi"/>
                <w:sz w:val="22"/>
                <w:szCs w:val="22"/>
              </w:rPr>
              <w:t>Reading</w:t>
            </w:r>
          </w:p>
        </w:tc>
        <w:tc>
          <w:tcPr>
            <w:tcW w:w="1483" w:type="dxa"/>
          </w:tcPr>
          <w:p w14:paraId="747E08AC"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73%</w:t>
            </w:r>
          </w:p>
        </w:tc>
        <w:tc>
          <w:tcPr>
            <w:tcW w:w="1383" w:type="dxa"/>
          </w:tcPr>
          <w:p w14:paraId="221F9FB4"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27%</w:t>
            </w:r>
          </w:p>
        </w:tc>
        <w:tc>
          <w:tcPr>
            <w:tcW w:w="1536" w:type="dxa"/>
          </w:tcPr>
          <w:p w14:paraId="323E818D"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82%</w:t>
            </w:r>
          </w:p>
        </w:tc>
      </w:tr>
      <w:tr w:rsidR="007D72D2" w:rsidRPr="00FA3279" w14:paraId="4C477960" w14:textId="77777777" w:rsidTr="00574CC7">
        <w:tc>
          <w:tcPr>
            <w:tcW w:w="1704" w:type="dxa"/>
            <w:shd w:val="clear" w:color="auto" w:fill="D9D9D9" w:themeFill="background1" w:themeFillShade="D9"/>
          </w:tcPr>
          <w:p w14:paraId="56FCE660" w14:textId="00F6CD3E" w:rsidR="007D72D2" w:rsidRPr="00FA3279" w:rsidRDefault="007D72D2" w:rsidP="007D72D2">
            <w:pPr>
              <w:spacing w:after="0" w:line="240" w:lineRule="auto"/>
              <w:jc w:val="center"/>
              <w:rPr>
                <w:rFonts w:cstheme="minorHAnsi"/>
                <w:sz w:val="22"/>
                <w:szCs w:val="22"/>
              </w:rPr>
            </w:pPr>
            <w:r w:rsidRPr="00FA3279">
              <w:rPr>
                <w:rFonts w:cstheme="minorHAnsi"/>
                <w:sz w:val="22"/>
                <w:szCs w:val="22"/>
              </w:rPr>
              <w:t>Writing</w:t>
            </w:r>
          </w:p>
        </w:tc>
        <w:tc>
          <w:tcPr>
            <w:tcW w:w="1483" w:type="dxa"/>
          </w:tcPr>
          <w:p w14:paraId="3F1ECACA"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78%</w:t>
            </w:r>
          </w:p>
        </w:tc>
        <w:tc>
          <w:tcPr>
            <w:tcW w:w="1383" w:type="dxa"/>
          </w:tcPr>
          <w:p w14:paraId="1B568007"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20%</w:t>
            </w:r>
          </w:p>
        </w:tc>
        <w:tc>
          <w:tcPr>
            <w:tcW w:w="1536" w:type="dxa"/>
          </w:tcPr>
          <w:p w14:paraId="607A3B72"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82%</w:t>
            </w:r>
          </w:p>
        </w:tc>
      </w:tr>
      <w:tr w:rsidR="007D72D2" w:rsidRPr="00FA3279" w14:paraId="44B7D926" w14:textId="77777777" w:rsidTr="00574CC7">
        <w:tc>
          <w:tcPr>
            <w:tcW w:w="1704" w:type="dxa"/>
            <w:shd w:val="clear" w:color="auto" w:fill="D9D9D9" w:themeFill="background1" w:themeFillShade="D9"/>
          </w:tcPr>
          <w:p w14:paraId="6D084677" w14:textId="172C67CB" w:rsidR="007D72D2" w:rsidRPr="00FA3279" w:rsidRDefault="007D72D2" w:rsidP="007D72D2">
            <w:pPr>
              <w:spacing w:after="0" w:line="240" w:lineRule="auto"/>
              <w:jc w:val="center"/>
              <w:rPr>
                <w:rFonts w:cstheme="minorHAnsi"/>
                <w:sz w:val="22"/>
                <w:szCs w:val="22"/>
              </w:rPr>
            </w:pPr>
            <w:r w:rsidRPr="00FA3279">
              <w:rPr>
                <w:rFonts w:cstheme="minorHAnsi"/>
                <w:sz w:val="22"/>
                <w:szCs w:val="22"/>
              </w:rPr>
              <w:t>Maths</w:t>
            </w:r>
          </w:p>
        </w:tc>
        <w:tc>
          <w:tcPr>
            <w:tcW w:w="1483" w:type="dxa"/>
          </w:tcPr>
          <w:p w14:paraId="71844754"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79%</w:t>
            </w:r>
          </w:p>
        </w:tc>
        <w:tc>
          <w:tcPr>
            <w:tcW w:w="1383" w:type="dxa"/>
          </w:tcPr>
          <w:p w14:paraId="7AB14458"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27%</w:t>
            </w:r>
          </w:p>
        </w:tc>
        <w:tc>
          <w:tcPr>
            <w:tcW w:w="1536" w:type="dxa"/>
          </w:tcPr>
          <w:p w14:paraId="7D97D448"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70%</w:t>
            </w:r>
          </w:p>
        </w:tc>
      </w:tr>
      <w:tr w:rsidR="007D72D2" w:rsidRPr="00FA3279" w14:paraId="55C00A12" w14:textId="77777777" w:rsidTr="00574CC7">
        <w:tc>
          <w:tcPr>
            <w:tcW w:w="1704" w:type="dxa"/>
            <w:shd w:val="clear" w:color="auto" w:fill="D9D9D9" w:themeFill="background1" w:themeFillShade="D9"/>
          </w:tcPr>
          <w:p w14:paraId="5C125E8B"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Combined</w:t>
            </w:r>
          </w:p>
        </w:tc>
        <w:tc>
          <w:tcPr>
            <w:tcW w:w="1483" w:type="dxa"/>
          </w:tcPr>
          <w:p w14:paraId="47C1EF3C"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65%</w:t>
            </w:r>
          </w:p>
        </w:tc>
        <w:tc>
          <w:tcPr>
            <w:tcW w:w="1383" w:type="dxa"/>
          </w:tcPr>
          <w:p w14:paraId="7603AA7C"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11%</w:t>
            </w:r>
          </w:p>
        </w:tc>
        <w:tc>
          <w:tcPr>
            <w:tcW w:w="1536" w:type="dxa"/>
          </w:tcPr>
          <w:p w14:paraId="05B04126" w14:textId="77777777" w:rsidR="007D72D2" w:rsidRPr="00FA3279" w:rsidRDefault="007D72D2" w:rsidP="007D72D2">
            <w:pPr>
              <w:spacing w:after="0" w:line="240" w:lineRule="auto"/>
              <w:jc w:val="center"/>
              <w:rPr>
                <w:rFonts w:cstheme="minorHAnsi"/>
                <w:sz w:val="22"/>
                <w:szCs w:val="22"/>
              </w:rPr>
            </w:pPr>
            <w:r w:rsidRPr="00FA3279">
              <w:rPr>
                <w:rFonts w:cstheme="minorHAnsi"/>
                <w:sz w:val="22"/>
                <w:szCs w:val="22"/>
              </w:rPr>
              <w:t>63%</w:t>
            </w:r>
          </w:p>
        </w:tc>
      </w:tr>
    </w:tbl>
    <w:p w14:paraId="1B7762A4" w14:textId="77777777" w:rsidR="007D72D2" w:rsidRPr="00FA3279" w:rsidRDefault="007D72D2" w:rsidP="007D72D2">
      <w:pPr>
        <w:spacing w:after="0" w:line="240" w:lineRule="auto"/>
        <w:jc w:val="center"/>
        <w:rPr>
          <w:rFonts w:asciiTheme="minorHAnsi" w:hAnsiTheme="minorHAnsi" w:cstheme="minorHAnsi"/>
          <w:sz w:val="22"/>
          <w:szCs w:val="22"/>
        </w:rPr>
      </w:pPr>
    </w:p>
    <w:p w14:paraId="0CB7470B" w14:textId="244AF0C2" w:rsidR="002F7459" w:rsidRPr="00FA3279" w:rsidRDefault="000E61EF"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Attendance for the </w:t>
      </w:r>
      <w:proofErr w:type="gramStart"/>
      <w:r w:rsidRPr="00FA3279">
        <w:rPr>
          <w:rFonts w:asciiTheme="minorHAnsi" w:hAnsiTheme="minorHAnsi" w:cstheme="minorHAnsi"/>
          <w:sz w:val="22"/>
          <w:szCs w:val="22"/>
        </w:rPr>
        <w:t>Summer</w:t>
      </w:r>
      <w:proofErr w:type="gramEnd"/>
      <w:r w:rsidRPr="00FA3279">
        <w:rPr>
          <w:rFonts w:asciiTheme="minorHAnsi" w:hAnsiTheme="minorHAnsi" w:cstheme="minorHAnsi"/>
          <w:sz w:val="22"/>
          <w:szCs w:val="22"/>
        </w:rPr>
        <w:t xml:space="preserve"> term 2021 – 94% (including 2+ and Nursery)</w:t>
      </w:r>
    </w:p>
    <w:p w14:paraId="27410D67" w14:textId="77777777" w:rsidR="006D79F9" w:rsidRPr="00FA3279" w:rsidRDefault="006D79F9" w:rsidP="002F7459">
      <w:pPr>
        <w:pStyle w:val="Heading2"/>
        <w:spacing w:before="0" w:after="0"/>
        <w:rPr>
          <w:rFonts w:asciiTheme="minorHAnsi" w:hAnsiTheme="minorHAnsi" w:cstheme="minorHAnsi"/>
          <w:sz w:val="22"/>
          <w:szCs w:val="22"/>
        </w:rPr>
      </w:pPr>
    </w:p>
    <w:p w14:paraId="2A7D5548"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Externally provided programmes</w:t>
      </w:r>
    </w:p>
    <w:p w14:paraId="5372D7EC" w14:textId="77777777" w:rsidR="002F7459" w:rsidRPr="00FA3279" w:rsidRDefault="002F7459" w:rsidP="002F7459">
      <w:pPr>
        <w:spacing w:after="0" w:line="240" w:lineRule="auto"/>
        <w:rPr>
          <w:sz w:val="22"/>
          <w:szCs w:val="22"/>
        </w:rPr>
      </w:pPr>
    </w:p>
    <w:p w14:paraId="43112862" w14:textId="0447066E" w:rsidR="002F7459" w:rsidRPr="00FA3279" w:rsidRDefault="009D71E8" w:rsidP="002F7459">
      <w:pPr>
        <w:spacing w:after="0" w:line="240" w:lineRule="auto"/>
        <w:rPr>
          <w:rFonts w:asciiTheme="minorHAnsi" w:hAnsiTheme="minorHAnsi" w:cstheme="minorHAnsi"/>
          <w:i/>
          <w:iCs/>
          <w:sz w:val="22"/>
          <w:szCs w:val="22"/>
        </w:rPr>
      </w:pPr>
      <w:r w:rsidRPr="00FA3279">
        <w:rPr>
          <w:rFonts w:asciiTheme="minorHAnsi" w:hAnsiTheme="minorHAnsi" w:cstheme="minorHAnsi"/>
          <w:i/>
          <w:iCs/>
          <w:sz w:val="22"/>
          <w:szCs w:val="22"/>
        </w:rPr>
        <w:t>Please include the names of any non-DfE programmes that you purchased in the previous academic year. This will help the Department for Education identify which ones are popular in England</w:t>
      </w:r>
    </w:p>
    <w:p w14:paraId="33CE60BC" w14:textId="77777777" w:rsidR="002F7459" w:rsidRPr="00FA3279" w:rsidRDefault="002F7459" w:rsidP="002F7459">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930"/>
        <w:gridCol w:w="4782"/>
      </w:tblGrid>
      <w:tr w:rsidR="00E66558" w:rsidRPr="00FA3279"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E66558" w:rsidRPr="00FA3279"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98B61DD" w:rsidR="00E66558" w:rsidRPr="00FA3279" w:rsidRDefault="000E61EF"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1:1 reading 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C701" w14:textId="77777777" w:rsidR="00E66558" w:rsidRPr="00FA3279" w:rsidRDefault="000E61EF"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Beanstalk</w:t>
            </w:r>
          </w:p>
          <w:p w14:paraId="35A98827" w14:textId="77777777" w:rsidR="000E61EF" w:rsidRPr="00FA3279" w:rsidRDefault="000E61EF"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Bookmark </w:t>
            </w:r>
          </w:p>
          <w:p w14:paraId="2A7D554E" w14:textId="514CC76C" w:rsidR="000E61EF" w:rsidRPr="00FA3279" w:rsidRDefault="000E61EF" w:rsidP="002F7459">
            <w:pPr>
              <w:pStyle w:val="TableRowCentered"/>
              <w:spacing w:before="0" w:after="0"/>
              <w:jc w:val="left"/>
              <w:rPr>
                <w:rFonts w:asciiTheme="minorHAnsi" w:hAnsiTheme="minorHAnsi" w:cstheme="minorHAnsi"/>
                <w:sz w:val="22"/>
                <w:szCs w:val="22"/>
              </w:rPr>
            </w:pPr>
            <w:proofErr w:type="spellStart"/>
            <w:r w:rsidRPr="00FA3279">
              <w:rPr>
                <w:rFonts w:asciiTheme="minorHAnsi" w:hAnsiTheme="minorHAnsi" w:cstheme="minorHAnsi"/>
                <w:sz w:val="22"/>
                <w:szCs w:val="22"/>
              </w:rPr>
              <w:t>Tutormate</w:t>
            </w:r>
            <w:proofErr w:type="spellEnd"/>
            <w:r w:rsidRPr="00FA3279">
              <w:rPr>
                <w:rFonts w:asciiTheme="minorHAnsi" w:hAnsiTheme="minorHAnsi" w:cstheme="minorHAnsi"/>
                <w:sz w:val="22"/>
                <w:szCs w:val="22"/>
              </w:rPr>
              <w:t xml:space="preserve"> </w:t>
            </w:r>
          </w:p>
        </w:tc>
      </w:tr>
      <w:tr w:rsidR="00E66558" w:rsidRPr="00FA3279"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13FEB7B" w:rsidR="00E66558" w:rsidRPr="00FA3279" w:rsidRDefault="00875589" w:rsidP="000E61EF">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Specialist drama, music and language focused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D704B71" w:rsidR="00E66558" w:rsidRPr="00FA3279" w:rsidRDefault="0087558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Artis</w:t>
            </w:r>
          </w:p>
        </w:tc>
      </w:tr>
      <w:tr w:rsidR="00875589" w:rsidRPr="00FA3279" w14:paraId="6D06BA6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227D" w14:textId="2F8F9B2F" w:rsidR="00875589" w:rsidRPr="00FA3279" w:rsidRDefault="00875589" w:rsidP="00875589">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Year 5 and 6 maths and reading tuition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F967" w14:textId="33412EE5" w:rsidR="00875589" w:rsidRPr="00FA3279" w:rsidRDefault="0087558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Action tutoring</w:t>
            </w:r>
          </w:p>
        </w:tc>
      </w:tr>
      <w:tr w:rsidR="00875589" w:rsidRPr="00FA3279" w14:paraId="31B867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16499" w14:textId="23C6C88D" w:rsidR="00875589" w:rsidRPr="00FA3279" w:rsidRDefault="00875589" w:rsidP="000E61EF">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Cultural experience and language development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32F3" w14:textId="1C088C70" w:rsidR="00875589" w:rsidRPr="00FA3279" w:rsidRDefault="0087558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Young Shakespeare Company </w:t>
            </w:r>
          </w:p>
        </w:tc>
      </w:tr>
      <w:tr w:rsidR="00875589" w:rsidRPr="00FA3279" w14:paraId="2557BD1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4DAD" w14:textId="02793152" w:rsidR="00875589" w:rsidRPr="00FA3279" w:rsidRDefault="00875589" w:rsidP="000E61EF">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Immersive curriculum/ cultural experience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ECD54" w14:textId="7E65CC22" w:rsidR="00875589" w:rsidRPr="00FA3279" w:rsidRDefault="0087558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Now Press Play </w:t>
            </w:r>
          </w:p>
        </w:tc>
      </w:tr>
    </w:tbl>
    <w:p w14:paraId="4F3C1217" w14:textId="4E8ECC87" w:rsidR="00FA3279" w:rsidRDefault="00FA3279" w:rsidP="002F7459">
      <w:pPr>
        <w:spacing w:after="0" w:line="240" w:lineRule="auto"/>
        <w:rPr>
          <w:rFonts w:asciiTheme="minorHAnsi" w:hAnsiTheme="minorHAnsi" w:cstheme="minorHAnsi"/>
          <w:sz w:val="22"/>
          <w:szCs w:val="22"/>
        </w:rPr>
      </w:pPr>
    </w:p>
    <w:p w14:paraId="4CF4654E" w14:textId="77777777" w:rsidR="00F9029D" w:rsidRDefault="00F9029D" w:rsidP="002F7459">
      <w:pPr>
        <w:spacing w:after="0" w:line="240" w:lineRule="auto"/>
        <w:rPr>
          <w:rFonts w:asciiTheme="minorHAnsi" w:hAnsiTheme="minorHAnsi" w:cstheme="minorHAnsi"/>
          <w:sz w:val="22"/>
          <w:szCs w:val="22"/>
        </w:rPr>
      </w:pPr>
    </w:p>
    <w:p w14:paraId="56DF3DDF" w14:textId="77777777" w:rsidR="00F9029D" w:rsidRDefault="00F9029D" w:rsidP="002F7459">
      <w:pPr>
        <w:spacing w:after="0" w:line="240" w:lineRule="auto"/>
        <w:rPr>
          <w:rFonts w:asciiTheme="minorHAnsi" w:hAnsiTheme="minorHAnsi" w:cstheme="minorHAnsi"/>
          <w:sz w:val="22"/>
          <w:szCs w:val="22"/>
        </w:rPr>
      </w:pPr>
    </w:p>
    <w:p w14:paraId="4D557A5D" w14:textId="77777777" w:rsidR="00F9029D" w:rsidRDefault="00F9029D" w:rsidP="002F7459">
      <w:pPr>
        <w:spacing w:after="0" w:line="240" w:lineRule="auto"/>
        <w:rPr>
          <w:rFonts w:asciiTheme="minorHAnsi" w:hAnsiTheme="minorHAnsi" w:cstheme="minorHAnsi"/>
          <w:sz w:val="22"/>
          <w:szCs w:val="22"/>
        </w:rPr>
      </w:pPr>
    </w:p>
    <w:p w14:paraId="63442045" w14:textId="77777777" w:rsidR="00F9029D" w:rsidRDefault="00F9029D" w:rsidP="002F7459">
      <w:pPr>
        <w:spacing w:after="0" w:line="240" w:lineRule="auto"/>
        <w:rPr>
          <w:rFonts w:asciiTheme="minorHAnsi" w:hAnsiTheme="minorHAnsi" w:cstheme="minorHAnsi"/>
          <w:sz w:val="22"/>
          <w:szCs w:val="22"/>
        </w:rPr>
      </w:pPr>
    </w:p>
    <w:p w14:paraId="4796D2C7" w14:textId="77777777" w:rsidR="00F9029D" w:rsidRDefault="00F9029D" w:rsidP="002F7459">
      <w:pPr>
        <w:spacing w:after="0" w:line="240" w:lineRule="auto"/>
        <w:rPr>
          <w:rFonts w:asciiTheme="minorHAnsi" w:hAnsiTheme="minorHAnsi" w:cstheme="minorHAnsi"/>
          <w:sz w:val="22"/>
          <w:szCs w:val="22"/>
        </w:rPr>
      </w:pPr>
    </w:p>
    <w:p w14:paraId="002102B9" w14:textId="77777777" w:rsidR="00F9029D" w:rsidRDefault="00F9029D" w:rsidP="002F7459">
      <w:pPr>
        <w:spacing w:after="0" w:line="240" w:lineRule="auto"/>
        <w:rPr>
          <w:rFonts w:asciiTheme="minorHAnsi" w:hAnsiTheme="minorHAnsi" w:cstheme="minorHAnsi"/>
          <w:sz w:val="22"/>
          <w:szCs w:val="22"/>
        </w:rPr>
      </w:pPr>
    </w:p>
    <w:p w14:paraId="0D72324D" w14:textId="77777777" w:rsidR="00F9029D" w:rsidRDefault="00F9029D" w:rsidP="002F7459">
      <w:pPr>
        <w:spacing w:after="0" w:line="240" w:lineRule="auto"/>
        <w:rPr>
          <w:rFonts w:asciiTheme="minorHAnsi" w:hAnsiTheme="minorHAnsi" w:cstheme="minorHAnsi"/>
          <w:sz w:val="22"/>
          <w:szCs w:val="22"/>
        </w:rPr>
      </w:pPr>
    </w:p>
    <w:p w14:paraId="71006533" w14:textId="77777777" w:rsidR="00F9029D" w:rsidRDefault="00F9029D" w:rsidP="002F7459">
      <w:pPr>
        <w:spacing w:after="0" w:line="240" w:lineRule="auto"/>
        <w:rPr>
          <w:rFonts w:asciiTheme="minorHAnsi" w:hAnsiTheme="minorHAnsi" w:cstheme="minorHAnsi"/>
          <w:sz w:val="22"/>
          <w:szCs w:val="22"/>
        </w:rPr>
      </w:pPr>
    </w:p>
    <w:p w14:paraId="37374AB3" w14:textId="77777777" w:rsidR="00F9029D" w:rsidRDefault="00F9029D" w:rsidP="002F7459">
      <w:pPr>
        <w:spacing w:after="0" w:line="240" w:lineRule="auto"/>
        <w:rPr>
          <w:rFonts w:asciiTheme="minorHAnsi" w:hAnsiTheme="minorHAnsi" w:cstheme="minorHAnsi"/>
          <w:sz w:val="22"/>
          <w:szCs w:val="22"/>
        </w:rPr>
      </w:pPr>
    </w:p>
    <w:p w14:paraId="5F3973BE" w14:textId="77777777" w:rsidR="00F9029D" w:rsidRDefault="00F9029D" w:rsidP="002F7459">
      <w:pPr>
        <w:spacing w:after="0" w:line="240" w:lineRule="auto"/>
        <w:rPr>
          <w:rFonts w:asciiTheme="minorHAnsi" w:hAnsiTheme="minorHAnsi" w:cstheme="minorHAnsi"/>
          <w:sz w:val="22"/>
          <w:szCs w:val="22"/>
        </w:rPr>
      </w:pPr>
    </w:p>
    <w:p w14:paraId="3A1A1B23" w14:textId="77777777" w:rsidR="00F9029D" w:rsidRDefault="00F9029D" w:rsidP="002F7459">
      <w:pPr>
        <w:spacing w:after="0" w:line="240" w:lineRule="auto"/>
        <w:rPr>
          <w:rFonts w:asciiTheme="minorHAnsi" w:hAnsiTheme="minorHAnsi" w:cstheme="minorHAnsi"/>
          <w:sz w:val="22"/>
          <w:szCs w:val="22"/>
        </w:rPr>
      </w:pPr>
    </w:p>
    <w:p w14:paraId="168FE2C3" w14:textId="77777777" w:rsidR="00F9029D" w:rsidRDefault="00F9029D" w:rsidP="002F7459">
      <w:pPr>
        <w:spacing w:after="0" w:line="240" w:lineRule="auto"/>
        <w:rPr>
          <w:rFonts w:asciiTheme="minorHAnsi" w:hAnsiTheme="minorHAnsi" w:cstheme="minorHAnsi"/>
          <w:sz w:val="22"/>
          <w:szCs w:val="22"/>
        </w:rPr>
      </w:pPr>
    </w:p>
    <w:p w14:paraId="28FB0C89" w14:textId="77777777" w:rsidR="00F9029D" w:rsidRDefault="00F9029D" w:rsidP="002F7459">
      <w:pPr>
        <w:spacing w:after="0" w:line="240" w:lineRule="auto"/>
        <w:rPr>
          <w:rFonts w:asciiTheme="minorHAnsi" w:hAnsiTheme="minorHAnsi" w:cstheme="minorHAnsi"/>
          <w:sz w:val="22"/>
          <w:szCs w:val="22"/>
        </w:rPr>
      </w:pPr>
    </w:p>
    <w:p w14:paraId="421CB85D" w14:textId="77777777" w:rsidR="00F9029D" w:rsidRDefault="00F9029D" w:rsidP="002F7459">
      <w:pPr>
        <w:spacing w:after="0" w:line="240" w:lineRule="auto"/>
        <w:rPr>
          <w:rFonts w:asciiTheme="minorHAnsi" w:hAnsiTheme="minorHAnsi" w:cstheme="minorHAnsi"/>
          <w:sz w:val="22"/>
          <w:szCs w:val="22"/>
        </w:rPr>
      </w:pPr>
    </w:p>
    <w:p w14:paraId="62D9A465" w14:textId="77777777" w:rsidR="00F9029D" w:rsidRDefault="00F9029D" w:rsidP="002F7459">
      <w:pPr>
        <w:spacing w:after="0" w:line="240" w:lineRule="auto"/>
        <w:rPr>
          <w:rFonts w:asciiTheme="minorHAnsi" w:hAnsiTheme="minorHAnsi" w:cstheme="minorHAnsi"/>
          <w:sz w:val="22"/>
          <w:szCs w:val="22"/>
        </w:rPr>
      </w:pPr>
    </w:p>
    <w:p w14:paraId="5284A403" w14:textId="77777777" w:rsidR="00F9029D" w:rsidRDefault="00F9029D" w:rsidP="002F7459">
      <w:pPr>
        <w:spacing w:after="0" w:line="240" w:lineRule="auto"/>
        <w:rPr>
          <w:rFonts w:asciiTheme="minorHAnsi" w:hAnsiTheme="minorHAnsi" w:cstheme="minorHAnsi"/>
          <w:sz w:val="22"/>
          <w:szCs w:val="22"/>
        </w:rPr>
      </w:pPr>
    </w:p>
    <w:p w14:paraId="4594E174" w14:textId="77777777" w:rsidR="00F9029D" w:rsidRPr="00FA3279" w:rsidRDefault="00F9029D" w:rsidP="002F7459">
      <w:pPr>
        <w:spacing w:after="0" w:line="240" w:lineRule="auto"/>
        <w:rPr>
          <w:rFonts w:asciiTheme="minorHAnsi" w:hAnsiTheme="minorHAnsi" w:cstheme="minorHAnsi"/>
          <w:sz w:val="22"/>
          <w:szCs w:val="22"/>
        </w:rPr>
      </w:pPr>
      <w:bookmarkStart w:id="17" w:name="_GoBack"/>
      <w:bookmarkEnd w:id="17"/>
    </w:p>
    <w:p w14:paraId="57493E85" w14:textId="53C5C5DD" w:rsidR="00FA3279" w:rsidRPr="00FA3279" w:rsidRDefault="00FA3279" w:rsidP="002F7459">
      <w:pPr>
        <w:spacing w:after="0" w:line="240" w:lineRule="auto"/>
        <w:rPr>
          <w:rFonts w:asciiTheme="minorHAnsi" w:hAnsiTheme="minorHAnsi" w:cstheme="minorHAnsi"/>
          <w:b/>
          <w:bCs/>
          <w:color w:val="1F497D" w:themeColor="text2"/>
          <w:sz w:val="22"/>
          <w:szCs w:val="22"/>
        </w:rPr>
      </w:pPr>
      <w:r w:rsidRPr="00FA3279">
        <w:rPr>
          <w:rFonts w:asciiTheme="minorHAnsi" w:hAnsiTheme="minorHAnsi" w:cstheme="minorHAnsi"/>
          <w:b/>
          <w:bCs/>
          <w:color w:val="1F497D" w:themeColor="text2"/>
          <w:sz w:val="22"/>
          <w:szCs w:val="22"/>
        </w:rPr>
        <w:lastRenderedPageBreak/>
        <w:t>Further information</w:t>
      </w:r>
    </w:p>
    <w:p w14:paraId="65449D47" w14:textId="77777777" w:rsidR="00FA3279" w:rsidRPr="00FA3279" w:rsidRDefault="00FA3279" w:rsidP="002F7459">
      <w:pPr>
        <w:spacing w:after="0" w:line="240" w:lineRule="auto"/>
        <w:rPr>
          <w:rFonts w:asciiTheme="minorHAnsi" w:hAnsiTheme="minorHAnsi" w:cstheme="minorHAnsi"/>
          <w:b/>
          <w:bCs/>
          <w:color w:val="1F497D" w:themeColor="text2"/>
          <w:sz w:val="22"/>
          <w:szCs w:val="22"/>
        </w:rPr>
      </w:pPr>
    </w:p>
    <w:tbl>
      <w:tblPr>
        <w:tblStyle w:val="TableGrid"/>
        <w:tblW w:w="0" w:type="auto"/>
        <w:tblLook w:val="04A0" w:firstRow="1" w:lastRow="0" w:firstColumn="1" w:lastColumn="0" w:noHBand="0" w:noVBand="1"/>
      </w:tblPr>
      <w:tblGrid>
        <w:gridCol w:w="9712"/>
      </w:tblGrid>
      <w:tr w:rsidR="00FA3279" w:rsidRPr="00FA3279" w14:paraId="5E238017" w14:textId="77777777" w:rsidTr="00FA3279">
        <w:tc>
          <w:tcPr>
            <w:tcW w:w="9712" w:type="dxa"/>
          </w:tcPr>
          <w:p w14:paraId="11D02E13" w14:textId="77777777" w:rsidR="00FA3279" w:rsidRPr="00FA3279" w:rsidRDefault="00FA3279" w:rsidP="00FA3279">
            <w:pPr>
              <w:widowControl w:val="0"/>
              <w:autoSpaceDE w:val="0"/>
              <w:adjustRightInd w:val="0"/>
              <w:spacing w:after="0" w:line="240" w:lineRule="auto"/>
              <w:jc w:val="both"/>
              <w:rPr>
                <w:rFonts w:cstheme="minorHAnsi"/>
                <w:sz w:val="22"/>
                <w:szCs w:val="22"/>
              </w:rPr>
            </w:pPr>
            <w:r w:rsidRPr="00FA3279">
              <w:rPr>
                <w:rFonts w:cstheme="minorHAnsi"/>
                <w:sz w:val="22"/>
                <w:szCs w:val="22"/>
              </w:rPr>
              <w:t>Covid 19 has had an enormous impact on the education of our children. I</w:t>
            </w:r>
            <w:r w:rsidRPr="00FA3279">
              <w:rPr>
                <w:rFonts w:cstheme="minorHAnsi"/>
                <w:bCs/>
                <w:sz w:val="22"/>
                <w:szCs w:val="22"/>
              </w:rPr>
              <w:t xml:space="preserve">t has resulted in unprecedented challenges and has brought intense pressure, high levels of stress and anxiety and radical changes to the way in which we work and live. </w:t>
            </w:r>
          </w:p>
          <w:p w14:paraId="7A843BB5" w14:textId="77777777" w:rsidR="00FA3279" w:rsidRPr="00FA3279" w:rsidRDefault="00FA3279" w:rsidP="00FA3279">
            <w:pPr>
              <w:widowControl w:val="0"/>
              <w:autoSpaceDE w:val="0"/>
              <w:adjustRightInd w:val="0"/>
              <w:spacing w:after="0" w:line="240" w:lineRule="auto"/>
              <w:jc w:val="both"/>
              <w:rPr>
                <w:rFonts w:cstheme="minorHAnsi"/>
                <w:sz w:val="22"/>
                <w:szCs w:val="22"/>
              </w:rPr>
            </w:pPr>
          </w:p>
          <w:p w14:paraId="3DF3806C" w14:textId="77777777" w:rsidR="00FA3279" w:rsidRPr="00FA3279" w:rsidRDefault="00FA3279" w:rsidP="00FA3279">
            <w:pPr>
              <w:spacing w:after="0" w:line="240" w:lineRule="auto"/>
              <w:rPr>
                <w:rFonts w:cstheme="minorHAnsi"/>
                <w:sz w:val="22"/>
                <w:szCs w:val="22"/>
              </w:rPr>
            </w:pPr>
            <w:r w:rsidRPr="00FA3279">
              <w:rPr>
                <w:rFonts w:cstheme="minorHAnsi"/>
                <w:sz w:val="22"/>
                <w:szCs w:val="22"/>
              </w:rPr>
              <w:t xml:space="preserve">The closure of schools has had a considerable impact for all pupils, but the largest impact is likely to fall on those from the poorest families. </w:t>
            </w:r>
          </w:p>
          <w:p w14:paraId="419277D7" w14:textId="77777777" w:rsidR="00FA3279" w:rsidRPr="00FA3279" w:rsidRDefault="00FA3279" w:rsidP="00FA3279">
            <w:pPr>
              <w:spacing w:after="0" w:line="240" w:lineRule="auto"/>
              <w:rPr>
                <w:rFonts w:cstheme="minorHAnsi"/>
                <w:sz w:val="22"/>
                <w:szCs w:val="22"/>
              </w:rPr>
            </w:pPr>
          </w:p>
          <w:p w14:paraId="2B0C4D52" w14:textId="77777777" w:rsidR="00FA3279" w:rsidRPr="00FA3279" w:rsidRDefault="00FA3279" w:rsidP="00FA3279">
            <w:pPr>
              <w:spacing w:after="0" w:line="240" w:lineRule="auto"/>
              <w:rPr>
                <w:rFonts w:cstheme="minorHAnsi"/>
                <w:color w:val="000000" w:themeColor="text1"/>
                <w:sz w:val="22"/>
                <w:szCs w:val="22"/>
              </w:rPr>
            </w:pPr>
            <w:r w:rsidRPr="00FA3279">
              <w:rPr>
                <w:rFonts w:cstheme="minorHAnsi"/>
                <w:bCs/>
                <w:sz w:val="22"/>
                <w:szCs w:val="22"/>
              </w:rPr>
              <w:t xml:space="preserve">Every child’s experience has been different and some children have been impacted far more than others. </w:t>
            </w:r>
            <w:r w:rsidRPr="00FA3279">
              <w:rPr>
                <w:rFonts w:cstheme="minorHAnsi"/>
                <w:color w:val="000000" w:themeColor="text1"/>
                <w:sz w:val="22"/>
                <w:szCs w:val="22"/>
              </w:rPr>
              <w:t>It is clear that children have had access to different levels of learning during the lockdown. Some children have parents/carers who have been able to take on the role of ‘teacher’ and oversee the home learning. For many others, a whole range of issues have impacted on their ability to learn at home:</w:t>
            </w:r>
          </w:p>
          <w:p w14:paraId="11FF10F1" w14:textId="77777777" w:rsidR="00FA3279" w:rsidRPr="00FA3279" w:rsidRDefault="00FA3279" w:rsidP="00FA3279">
            <w:pPr>
              <w:pStyle w:val="ListParagraph"/>
              <w:numPr>
                <w:ilvl w:val="0"/>
                <w:numId w:val="16"/>
              </w:numPr>
              <w:suppressAutoHyphens w:val="0"/>
              <w:spacing w:after="0" w:line="240" w:lineRule="auto"/>
              <w:rPr>
                <w:rFonts w:cstheme="minorHAnsi"/>
                <w:color w:val="000000" w:themeColor="text1"/>
                <w:sz w:val="22"/>
                <w:szCs w:val="22"/>
              </w:rPr>
            </w:pPr>
            <w:r w:rsidRPr="00FA3279">
              <w:rPr>
                <w:rFonts w:cstheme="minorHAnsi"/>
                <w:color w:val="000000" w:themeColor="text1"/>
                <w:sz w:val="22"/>
                <w:szCs w:val="22"/>
              </w:rPr>
              <w:t>Space to work</w:t>
            </w:r>
          </w:p>
          <w:p w14:paraId="0139B257" w14:textId="77777777" w:rsidR="00FA3279" w:rsidRPr="00FA3279" w:rsidRDefault="00FA3279" w:rsidP="00FA3279">
            <w:pPr>
              <w:pStyle w:val="ListParagraph"/>
              <w:numPr>
                <w:ilvl w:val="0"/>
                <w:numId w:val="16"/>
              </w:numPr>
              <w:suppressAutoHyphens w:val="0"/>
              <w:spacing w:after="0" w:line="240" w:lineRule="auto"/>
              <w:rPr>
                <w:rFonts w:cstheme="minorHAnsi"/>
                <w:color w:val="000000" w:themeColor="text1"/>
                <w:sz w:val="22"/>
                <w:szCs w:val="22"/>
              </w:rPr>
            </w:pPr>
            <w:r w:rsidRPr="00FA3279">
              <w:rPr>
                <w:rFonts w:cstheme="minorHAnsi"/>
                <w:color w:val="000000" w:themeColor="text1"/>
                <w:sz w:val="22"/>
                <w:szCs w:val="22"/>
              </w:rPr>
              <w:t>Overcrowding</w:t>
            </w:r>
          </w:p>
          <w:p w14:paraId="1D7B5D58" w14:textId="77777777" w:rsidR="00FA3279" w:rsidRPr="00FA3279" w:rsidRDefault="00FA3279" w:rsidP="00FA3279">
            <w:pPr>
              <w:pStyle w:val="ListParagraph"/>
              <w:numPr>
                <w:ilvl w:val="0"/>
                <w:numId w:val="16"/>
              </w:numPr>
              <w:suppressAutoHyphens w:val="0"/>
              <w:spacing w:after="0" w:line="240" w:lineRule="auto"/>
              <w:rPr>
                <w:rFonts w:cstheme="minorHAnsi"/>
                <w:color w:val="000000" w:themeColor="text1"/>
                <w:sz w:val="22"/>
                <w:szCs w:val="22"/>
              </w:rPr>
            </w:pPr>
            <w:r w:rsidRPr="00FA3279">
              <w:rPr>
                <w:rFonts w:cstheme="minorHAnsi"/>
                <w:color w:val="000000" w:themeColor="text1"/>
                <w:sz w:val="22"/>
                <w:szCs w:val="22"/>
              </w:rPr>
              <w:t>Parents/Carers having the time / skills to commit to home learning</w:t>
            </w:r>
          </w:p>
          <w:p w14:paraId="20B8B31E" w14:textId="77777777" w:rsidR="00FA3279" w:rsidRPr="00FA3279" w:rsidRDefault="00FA3279" w:rsidP="00FA3279">
            <w:pPr>
              <w:pStyle w:val="ListParagraph"/>
              <w:numPr>
                <w:ilvl w:val="0"/>
                <w:numId w:val="16"/>
              </w:numPr>
              <w:suppressAutoHyphens w:val="0"/>
              <w:spacing w:after="0" w:line="240" w:lineRule="auto"/>
              <w:rPr>
                <w:rFonts w:cstheme="minorHAnsi"/>
                <w:color w:val="000000" w:themeColor="text1"/>
                <w:sz w:val="22"/>
                <w:szCs w:val="22"/>
              </w:rPr>
            </w:pPr>
            <w:r w:rsidRPr="00FA3279">
              <w:rPr>
                <w:rFonts w:cstheme="minorHAnsi"/>
                <w:color w:val="000000" w:themeColor="text1"/>
                <w:sz w:val="22"/>
                <w:szCs w:val="22"/>
              </w:rPr>
              <w:t>Lack of access to online facilities</w:t>
            </w:r>
          </w:p>
          <w:p w14:paraId="68BC4313" w14:textId="77777777" w:rsidR="00FA3279" w:rsidRPr="00FA3279" w:rsidRDefault="00FA3279" w:rsidP="00FA3279">
            <w:pPr>
              <w:spacing w:after="0" w:line="240" w:lineRule="auto"/>
              <w:rPr>
                <w:rFonts w:cstheme="minorHAnsi"/>
                <w:color w:val="000000" w:themeColor="text1"/>
                <w:sz w:val="22"/>
                <w:szCs w:val="22"/>
              </w:rPr>
            </w:pPr>
          </w:p>
          <w:p w14:paraId="196628CD" w14:textId="77777777" w:rsidR="00FA3279" w:rsidRPr="00FA3279" w:rsidRDefault="00FA3279" w:rsidP="00FA3279">
            <w:pPr>
              <w:spacing w:after="0" w:line="240" w:lineRule="auto"/>
              <w:rPr>
                <w:rFonts w:cstheme="minorHAnsi"/>
                <w:bCs/>
                <w:color w:val="000000" w:themeColor="text1"/>
                <w:sz w:val="22"/>
                <w:szCs w:val="22"/>
              </w:rPr>
            </w:pPr>
            <w:r w:rsidRPr="00FA3279">
              <w:rPr>
                <w:rFonts w:cstheme="minorHAnsi"/>
                <w:color w:val="000000" w:themeColor="text1"/>
                <w:sz w:val="22"/>
                <w:szCs w:val="22"/>
              </w:rPr>
              <w:t xml:space="preserve">The health of some children has been impacted by poor nutrition and a lack of physical exercise or access to the outdoors. </w:t>
            </w:r>
            <w:r w:rsidRPr="00FA3279">
              <w:rPr>
                <w:rFonts w:cstheme="minorHAnsi"/>
                <w:bCs/>
                <w:sz w:val="22"/>
                <w:szCs w:val="22"/>
              </w:rPr>
              <w:t xml:space="preserve">Many families have experienced serious illness and bereavement </w:t>
            </w:r>
            <w:r w:rsidRPr="00FA3279">
              <w:rPr>
                <w:rFonts w:cstheme="minorHAnsi"/>
                <w:bCs/>
                <w:color w:val="000000" w:themeColor="text1"/>
                <w:sz w:val="22"/>
                <w:szCs w:val="22"/>
              </w:rPr>
              <w:t>and there are ongoing anxieties for children, parents/carers and staff about getting back to “normality”.</w:t>
            </w:r>
          </w:p>
          <w:p w14:paraId="463AF05A" w14:textId="77777777" w:rsidR="00FA3279" w:rsidRPr="00FA3279" w:rsidRDefault="00FA3279" w:rsidP="002F7459">
            <w:pPr>
              <w:spacing w:after="0" w:line="240" w:lineRule="auto"/>
              <w:rPr>
                <w:rFonts w:cstheme="minorHAnsi"/>
                <w:sz w:val="22"/>
                <w:szCs w:val="22"/>
              </w:rPr>
            </w:pPr>
          </w:p>
        </w:tc>
      </w:tr>
      <w:bookmarkEnd w:id="14"/>
      <w:bookmarkEnd w:id="15"/>
      <w:bookmarkEnd w:id="16"/>
    </w:tbl>
    <w:p w14:paraId="2A7D5564" w14:textId="77777777" w:rsidR="00E66558" w:rsidRPr="00FA3279" w:rsidRDefault="00E66558" w:rsidP="00FA3279">
      <w:pPr>
        <w:spacing w:after="0" w:line="240" w:lineRule="auto"/>
        <w:rPr>
          <w:rFonts w:asciiTheme="minorHAnsi" w:hAnsiTheme="minorHAnsi" w:cstheme="minorHAnsi"/>
          <w:sz w:val="22"/>
          <w:szCs w:val="22"/>
        </w:rPr>
      </w:pPr>
    </w:p>
    <w:sectPr w:rsidR="00E66558" w:rsidRPr="00FA3279">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574CC7" w:rsidRDefault="00574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nsid w:val="2A2D2E93"/>
    <w:multiLevelType w:val="hybridMultilevel"/>
    <w:tmpl w:val="063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C2170"/>
    <w:multiLevelType w:val="hybridMultilevel"/>
    <w:tmpl w:val="7FC878F6"/>
    <w:lvl w:ilvl="0" w:tplc="F1086958">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nsid w:val="5F143C2D"/>
    <w:multiLevelType w:val="hybridMultilevel"/>
    <w:tmpl w:val="B4CED812"/>
    <w:lvl w:ilvl="0" w:tplc="F1086958">
      <w:start w:val="1"/>
      <w:numFmt w:val="decimal"/>
      <w:lvlText w:val="%1"/>
      <w:lvlJc w:val="left"/>
      <w:pPr>
        <w:ind w:left="512" w:hanging="360"/>
      </w:pPr>
      <w:rPr>
        <w:rFonts w:asciiTheme="minorHAnsi" w:eastAsia="Times New Roman" w:hAnsiTheme="minorHAnsi" w:cstheme="minorHAnsi"/>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12">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0"/>
  </w:num>
  <w:num w:numId="6">
    <w:abstractNumId w:val="9"/>
  </w:num>
  <w:num w:numId="7">
    <w:abstractNumId w:val="13"/>
  </w:num>
  <w:num w:numId="8">
    <w:abstractNumId w:val="18"/>
  </w:num>
  <w:num w:numId="9">
    <w:abstractNumId w:val="16"/>
  </w:num>
  <w:num w:numId="10">
    <w:abstractNumId w:val="14"/>
  </w:num>
  <w:num w:numId="11">
    <w:abstractNumId w:val="3"/>
  </w:num>
  <w:num w:numId="12">
    <w:abstractNumId w:val="17"/>
  </w:num>
  <w:num w:numId="13">
    <w:abstractNumId w:val="12"/>
  </w:num>
  <w:num w:numId="14">
    <w:abstractNumId w:val="15"/>
  </w:num>
  <w:num w:numId="15">
    <w:abstractNumId w:val="19"/>
  </w:num>
  <w:num w:numId="16">
    <w:abstractNumId w:val="6"/>
  </w:num>
  <w:num w:numId="17">
    <w:abstractNumId w:val="7"/>
  </w:num>
  <w:num w:numId="18">
    <w:abstractNumId w:val="11"/>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6DD0"/>
    <w:rsid w:val="000433B8"/>
    <w:rsid w:val="00066B73"/>
    <w:rsid w:val="000E61EF"/>
    <w:rsid w:val="00120AB1"/>
    <w:rsid w:val="0022181E"/>
    <w:rsid w:val="002E3775"/>
    <w:rsid w:val="002F7459"/>
    <w:rsid w:val="003D51C3"/>
    <w:rsid w:val="004044AA"/>
    <w:rsid w:val="0043307C"/>
    <w:rsid w:val="004710E9"/>
    <w:rsid w:val="00574CC7"/>
    <w:rsid w:val="00580309"/>
    <w:rsid w:val="006313BE"/>
    <w:rsid w:val="006A59A5"/>
    <w:rsid w:val="006D79F9"/>
    <w:rsid w:val="006E7FB1"/>
    <w:rsid w:val="00741B9E"/>
    <w:rsid w:val="007C2F04"/>
    <w:rsid w:val="007D72D2"/>
    <w:rsid w:val="00845F32"/>
    <w:rsid w:val="00875589"/>
    <w:rsid w:val="008D406C"/>
    <w:rsid w:val="009D71E8"/>
    <w:rsid w:val="00B47775"/>
    <w:rsid w:val="00D23EA9"/>
    <w:rsid w:val="00D33FE5"/>
    <w:rsid w:val="00D94BBE"/>
    <w:rsid w:val="00E66558"/>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ebonnin</cp:lastModifiedBy>
  <cp:revision>8</cp:revision>
  <cp:lastPrinted>2021-10-18T07:00:00Z</cp:lastPrinted>
  <dcterms:created xsi:type="dcterms:W3CDTF">2021-10-15T11:29:00Z</dcterms:created>
  <dcterms:modified xsi:type="dcterms:W3CDTF">2021-10-18T10:49:00Z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